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18154">
      <w:pPr>
        <w:adjustRightInd w:val="0"/>
        <w:snapToGrid w:val="0"/>
        <w:spacing w:line="570" w:lineRule="exac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default" w:ascii="Times New Roman" w:hAnsi="Times New Roman" w:eastAsia="黑体" w:cs="Times New Roman"/>
          <w:sz w:val="32"/>
          <w:szCs w:val="32"/>
          <w:lang w:val="en-US" w:eastAsia="zh-CN"/>
        </w:rPr>
        <w:t>3</w:t>
      </w:r>
    </w:p>
    <w:p w14:paraId="64B533BD">
      <w:pPr>
        <w:pStyle w:val="9"/>
        <w:keepNext w:val="0"/>
        <w:keepLines w:val="0"/>
        <w:pageBreakBefore w:val="0"/>
        <w:widowControl w:val="0"/>
        <w:kinsoku/>
        <w:wordWrap/>
        <w:overflowPunct/>
        <w:topLinePunct w:val="0"/>
        <w:autoSpaceDE/>
        <w:autoSpaceDN/>
        <w:bidi w:val="0"/>
        <w:adjustRightInd w:val="0"/>
        <w:snapToGrid w:val="0"/>
        <w:spacing w:after="160" w:afterLines="50" w:line="57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val="en"/>
        </w:rPr>
        <w:t>柳州</w:t>
      </w:r>
      <w:r>
        <w:rPr>
          <w:rFonts w:hint="eastAsia" w:ascii="方正小标宋简体" w:hAnsi="方正小标宋简体" w:eastAsia="方正小标宋简体" w:cs="方正小标宋简体"/>
          <w:b w:val="0"/>
          <w:bCs w:val="0"/>
          <w:sz w:val="44"/>
          <w:szCs w:val="44"/>
        </w:rPr>
        <w:t>市</w:t>
      </w:r>
      <w:r>
        <w:rPr>
          <w:rFonts w:hint="eastAsia" w:ascii="方正小标宋简体" w:hAnsi="方正小标宋简体" w:eastAsia="方正小标宋简体" w:cs="方正小标宋简体"/>
          <w:b w:val="0"/>
          <w:bCs w:val="0"/>
          <w:sz w:val="44"/>
          <w:szCs w:val="44"/>
          <w:lang w:eastAsia="zh-CN"/>
        </w:rPr>
        <w:t>档案</w:t>
      </w:r>
      <w:r>
        <w:rPr>
          <w:rFonts w:hint="eastAsia" w:ascii="方正小标宋简体" w:hAnsi="方正小标宋简体" w:eastAsia="方正小标宋简体" w:cs="方正小标宋简体"/>
          <w:b w:val="0"/>
          <w:bCs w:val="0"/>
          <w:sz w:val="44"/>
          <w:szCs w:val="44"/>
        </w:rPr>
        <w:t>局权责清单</w:t>
      </w:r>
    </w:p>
    <w:p w14:paraId="2A824F30">
      <w:pPr>
        <w:adjustRightInd w:val="0"/>
        <w:snapToGrid w:val="0"/>
        <w:spacing w:line="570" w:lineRule="exac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eastAsia="zh-CN"/>
        </w:rPr>
        <w:t>填报单位：柳州市档案局</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填报人及联系电话：容川 19807727575</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bCs/>
          <w:sz w:val="32"/>
          <w:szCs w:val="32"/>
          <w:lang w:val="en-US" w:eastAsia="zh-CN"/>
        </w:rPr>
        <w:t>填报日期：2026年9月</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bCs/>
          <w:sz w:val="32"/>
          <w:szCs w:val="32"/>
          <w:lang w:val="en-US" w:eastAsia="zh-CN"/>
        </w:rPr>
        <w:t>日</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5"/>
        <w:gridCol w:w="765"/>
        <w:gridCol w:w="780"/>
        <w:gridCol w:w="825"/>
        <w:gridCol w:w="840"/>
        <w:gridCol w:w="990"/>
        <w:gridCol w:w="2775"/>
        <w:gridCol w:w="2657"/>
        <w:gridCol w:w="2819"/>
        <w:gridCol w:w="2047"/>
        <w:gridCol w:w="4058"/>
        <w:gridCol w:w="1404"/>
        <w:gridCol w:w="609"/>
      </w:tblGrid>
      <w:tr w14:paraId="292CB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tblHeader/>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F0BBF7">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序号</w:t>
            </w:r>
          </w:p>
        </w:tc>
        <w:tc>
          <w:tcPr>
            <w:tcW w:w="6975" w:type="dxa"/>
            <w:gridSpan w:val="6"/>
            <w:tcBorders>
              <w:top w:val="single" w:color="000000"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ADF5BE9">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权力清单</w:t>
            </w:r>
          </w:p>
        </w:tc>
        <w:tc>
          <w:tcPr>
            <w:tcW w:w="12985" w:type="dxa"/>
            <w:gridSpan w:val="5"/>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21B60F">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责任清单</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332C0B">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备注</w:t>
            </w:r>
          </w:p>
        </w:tc>
      </w:tr>
      <w:tr w14:paraId="5414B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90" w:hRule="atLeast"/>
          <w:tblHeader/>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024C20">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p>
        </w:tc>
        <w:tc>
          <w:tcPr>
            <w:tcW w:w="765" w:type="dxa"/>
            <w:tcBorders>
              <w:top w:val="single" w:color="auto" w:sz="4" w:space="0"/>
              <w:left w:val="single" w:color="000000" w:sz="4" w:space="0"/>
              <w:right w:val="single" w:color="000000" w:sz="4" w:space="0"/>
            </w:tcBorders>
            <w:noWrap w:val="0"/>
            <w:tcMar>
              <w:top w:w="57" w:type="dxa"/>
              <w:left w:w="57" w:type="dxa"/>
              <w:bottom w:w="57" w:type="dxa"/>
              <w:right w:w="57" w:type="dxa"/>
            </w:tcMar>
            <w:vAlign w:val="center"/>
          </w:tcPr>
          <w:p w14:paraId="178D06D3">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权力</w:t>
            </w:r>
          </w:p>
          <w:p w14:paraId="29D15966">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分类</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8AEF62">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项目</w:t>
            </w:r>
          </w:p>
          <w:p w14:paraId="6B192512">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名称</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8E5A10">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子项</w:t>
            </w:r>
          </w:p>
          <w:p w14:paraId="2C0B4171">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名称</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2C55BE">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实施</w:t>
            </w:r>
          </w:p>
          <w:p w14:paraId="7E850DA8">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主体</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925CD3">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承办的</w:t>
            </w:r>
          </w:p>
          <w:p w14:paraId="78CADC7E">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内设机构</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E916CE">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实施依据</w:t>
            </w:r>
          </w:p>
        </w:tc>
        <w:tc>
          <w:tcPr>
            <w:tcW w:w="2657" w:type="dxa"/>
            <w:tcBorders>
              <w:top w:val="single" w:color="000000" w:sz="4" w:space="0"/>
              <w:left w:val="single" w:color="000000" w:sz="4" w:space="0"/>
              <w:right w:val="single" w:color="000000" w:sz="4" w:space="0"/>
            </w:tcBorders>
            <w:noWrap w:val="0"/>
            <w:tcMar>
              <w:top w:w="57" w:type="dxa"/>
              <w:left w:w="57" w:type="dxa"/>
              <w:bottom w:w="57" w:type="dxa"/>
              <w:right w:w="57" w:type="dxa"/>
            </w:tcMar>
            <w:vAlign w:val="center"/>
          </w:tcPr>
          <w:p w14:paraId="26DB2DEF">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责任事项</w:t>
            </w:r>
          </w:p>
          <w:p w14:paraId="17C0AC37">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（明确责任主体）</w:t>
            </w:r>
          </w:p>
        </w:tc>
        <w:tc>
          <w:tcPr>
            <w:tcW w:w="281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EF7385">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责任事项依据</w:t>
            </w:r>
          </w:p>
        </w:tc>
        <w:tc>
          <w:tcPr>
            <w:tcW w:w="204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618C9B">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追责情形</w:t>
            </w:r>
          </w:p>
          <w:p w14:paraId="65C7B441">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（明确内部追责主体）</w:t>
            </w:r>
          </w:p>
        </w:tc>
        <w:tc>
          <w:tcPr>
            <w:tcW w:w="405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882608">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追责依据</w:t>
            </w:r>
          </w:p>
        </w:tc>
        <w:tc>
          <w:tcPr>
            <w:tcW w:w="1404"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BB439A">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免责事项</w:t>
            </w:r>
          </w:p>
        </w:tc>
        <w:tc>
          <w:tcPr>
            <w:tcW w:w="609" w:type="dxa"/>
            <w:tcBorders>
              <w:top w:val="single" w:color="000000" w:sz="4" w:space="0"/>
              <w:left w:val="single" w:color="000000" w:sz="4" w:space="0"/>
              <w:right w:val="single" w:color="000000" w:sz="4" w:space="0"/>
            </w:tcBorders>
            <w:noWrap w:val="0"/>
            <w:tcMar>
              <w:top w:w="57" w:type="dxa"/>
              <w:left w:w="57" w:type="dxa"/>
              <w:bottom w:w="57" w:type="dxa"/>
              <w:right w:w="57" w:type="dxa"/>
            </w:tcMar>
            <w:vAlign w:val="center"/>
          </w:tcPr>
          <w:p w14:paraId="50316B4C">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黑体" w:hAnsi="黑体" w:eastAsia="黑体" w:cs="黑体"/>
                <w:i w:val="0"/>
                <w:iCs w:val="0"/>
                <w:color w:val="000000"/>
                <w:kern w:val="0"/>
                <w:sz w:val="21"/>
                <w:szCs w:val="21"/>
                <w:u w:val="none"/>
                <w:lang w:val="en-US" w:eastAsia="zh-CN" w:bidi="ar"/>
              </w:rPr>
            </w:pPr>
          </w:p>
        </w:tc>
      </w:tr>
      <w:tr w14:paraId="0596B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5DF7146A">
            <w:pPr>
              <w:widowControl/>
              <w:adjustRightInd w:val="0"/>
              <w:snapToGrid w:val="0"/>
              <w:spacing w:line="214" w:lineRule="exact"/>
              <w:jc w:val="both"/>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kern w:val="2"/>
                <w:sz w:val="21"/>
                <w:szCs w:val="21"/>
                <w:lang w:val="en-US" w:eastAsia="zh-CN" w:bidi="ar-SA"/>
              </w:rPr>
              <w:t>1</w:t>
            </w:r>
          </w:p>
        </w:tc>
        <w:tc>
          <w:tcPr>
            <w:tcW w:w="765" w:type="dxa"/>
            <w:vMerge w:val="restart"/>
            <w:tcBorders>
              <w:top w:val="single" w:color="auto" w:sz="4" w:space="0"/>
              <w:left w:val="single" w:color="000000" w:sz="4" w:space="0"/>
              <w:bottom w:val="single" w:color="auto" w:sz="4" w:space="0"/>
              <w:right w:val="single" w:color="000000" w:sz="4" w:space="0"/>
            </w:tcBorders>
            <w:shd w:val="clear" w:color="auto" w:fill="auto"/>
            <w:noWrap w:val="0"/>
            <w:tcMar>
              <w:top w:w="57" w:type="dxa"/>
              <w:left w:w="57" w:type="dxa"/>
              <w:bottom w:w="57" w:type="dxa"/>
              <w:right w:w="57" w:type="dxa"/>
            </w:tcMar>
            <w:vAlign w:val="center"/>
          </w:tcPr>
          <w:p w14:paraId="5F399878">
            <w:pPr>
              <w:widowControl/>
              <w:adjustRightInd w:val="0"/>
              <w:snapToGrid w:val="0"/>
              <w:spacing w:line="214" w:lineRule="exact"/>
              <w:jc w:val="both"/>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sz w:val="21"/>
                <w:szCs w:val="21"/>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38D4FE86">
            <w:pPr>
              <w:widowControl/>
              <w:adjustRightInd w:val="0"/>
              <w:snapToGrid w:val="0"/>
              <w:spacing w:line="214" w:lineRule="exact"/>
              <w:jc w:val="both"/>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sz w:val="21"/>
                <w:szCs w:val="21"/>
              </w:rPr>
              <w:t>对非法出卖、转让、赠送档案的处罚</w:t>
            </w:r>
          </w:p>
        </w:tc>
        <w:tc>
          <w:tcPr>
            <w:tcW w:w="8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F39DF1">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p>
        </w:tc>
        <w:tc>
          <w:tcPr>
            <w:tcW w:w="84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D11C38">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市委办（市档案局）</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E0AABB">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档案事业发展和管理科</w:t>
            </w:r>
          </w:p>
        </w:tc>
        <w:tc>
          <w:tcPr>
            <w:tcW w:w="277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8EC780">
            <w:pPr>
              <w:widowControl/>
              <w:adjustRightInd w:val="0"/>
              <w:snapToGrid w:val="0"/>
              <w:spacing w:line="214" w:lineRule="exact"/>
              <w:ind w:firstLine="420" w:firstLineChars="200"/>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法律】《中华人民共和国档案法》第四十八条“单位或者个人有下列行为之一，由县级以上档案主管部门、有关机关对直接负责的主管人员和其他直接责任人员依法给予处分：……（三）买卖或者非法转让属于国家所有的档案的；……（五）将档案出卖、赠送给外国人或者外国组织的；……</w:t>
            </w:r>
            <w:r>
              <w:rPr>
                <w:rFonts w:hint="eastAsia" w:ascii="仿宋_GB2312" w:hAnsi="仿宋_GB2312" w:eastAsia="仿宋_GB2312" w:cs="仿宋_GB2312"/>
                <w:snapToGrid w:val="0"/>
                <w:color w:val="000000"/>
                <w:sz w:val="21"/>
                <w:szCs w:val="21"/>
                <w:lang w:eastAsia="zh-CN"/>
              </w:rPr>
              <w:t>。</w:t>
            </w:r>
            <w:r>
              <w:rPr>
                <w:rFonts w:hint="eastAsia" w:ascii="仿宋_GB2312" w:hAnsi="仿宋_GB2312" w:eastAsia="仿宋_GB2312" w:cs="仿宋_GB2312"/>
                <w:snapToGrid w:val="0"/>
                <w:color w:val="000000"/>
                <w:sz w:val="21"/>
                <w:szCs w:val="21"/>
              </w:rPr>
              <w:t>”</w:t>
            </w:r>
          </w:p>
          <w:p w14:paraId="6AAFC08B">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snapToGrid w:val="0"/>
                <w:color w:val="000000"/>
                <w:sz w:val="21"/>
                <w:szCs w:val="21"/>
              </w:rPr>
              <w:t>第四十九条第三款 “单位或者个人有本法第四十八条第三项、第五项违法行为之一的，由县级以上档案主管部门给予警告，没收违法所得，并对单位处一万元以上十万元以下的罚款，对个人处五百元以上五千元以下的罚款；并可以依照本法第二十二条的规定征购所出卖或者赠</w:t>
            </w:r>
            <w:r>
              <w:rPr>
                <w:rFonts w:hint="eastAsia" w:ascii="仿宋_GB2312" w:hAnsi="仿宋_GB2312" w:eastAsia="仿宋_GB2312" w:cs="仿宋_GB2312"/>
                <w:snapToGrid w:val="0"/>
                <w:color w:val="000000"/>
                <w:sz w:val="21"/>
                <w:szCs w:val="21"/>
                <w:lang w:eastAsia="zh-CN"/>
              </w:rPr>
              <w:t>送</w:t>
            </w:r>
            <w:r>
              <w:rPr>
                <w:rFonts w:hint="eastAsia" w:ascii="仿宋_GB2312" w:hAnsi="仿宋_GB2312" w:eastAsia="仿宋_GB2312" w:cs="仿宋_GB2312"/>
                <w:snapToGrid w:val="0"/>
                <w:color w:val="000000"/>
                <w:sz w:val="21"/>
                <w:szCs w:val="21"/>
              </w:rPr>
              <w:t>的档案。”</w:t>
            </w:r>
          </w:p>
        </w:tc>
        <w:tc>
          <w:tcPr>
            <w:tcW w:w="2657"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FF2A4D">
            <w:pPr>
              <w:widowControl/>
              <w:adjustRightInd w:val="0"/>
              <w:snapToGrid w:val="0"/>
              <w:spacing w:line="214" w:lineRule="exact"/>
              <w:ind w:firstLine="420" w:firstLineChars="200"/>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1.立案责任（档案事业发展和管理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）：对在监督管理中发现的、举报的、上级部门交办或移送的线索予以审查，决定是否立案。</w:t>
            </w:r>
          </w:p>
          <w:p w14:paraId="160F7E16">
            <w:pPr>
              <w:widowControl/>
              <w:adjustRightInd w:val="0"/>
              <w:snapToGrid w:val="0"/>
              <w:spacing w:line="214" w:lineRule="exact"/>
              <w:ind w:firstLine="420" w:firstLineChars="200"/>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2.调查责任（档案事业发展和管理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）：进行调查，收集证据，并记录保存。</w:t>
            </w:r>
          </w:p>
          <w:p w14:paraId="4EE0E4F4">
            <w:pPr>
              <w:widowControl/>
              <w:adjustRightInd w:val="0"/>
              <w:snapToGrid w:val="0"/>
              <w:spacing w:line="214" w:lineRule="exact"/>
              <w:ind w:firstLine="420" w:firstLineChars="200"/>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3.复核审查责任（档案事业发展和管理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）：对事实认定、法律适用执法程序等进行审查，提出审查意见。</w:t>
            </w:r>
          </w:p>
          <w:p w14:paraId="3915357E">
            <w:pPr>
              <w:widowControl/>
              <w:adjustRightInd w:val="0"/>
              <w:snapToGrid w:val="0"/>
              <w:spacing w:line="214" w:lineRule="exact"/>
              <w:ind w:firstLine="420" w:firstLineChars="200"/>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4.告知责任（档案事业发展和管理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）：事先告知处罚的事实、理由、依据及享有的陈述、申辩等权利。</w:t>
            </w:r>
          </w:p>
          <w:p w14:paraId="0246CFD4">
            <w:pPr>
              <w:widowControl/>
              <w:adjustRightInd w:val="0"/>
              <w:snapToGrid w:val="0"/>
              <w:spacing w:line="214" w:lineRule="exact"/>
              <w:ind w:firstLine="420" w:firstLineChars="200"/>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5.决定责任（档案事业发展和管理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）：依法作出行政处罚决定。</w:t>
            </w:r>
          </w:p>
          <w:p w14:paraId="097C361A">
            <w:pPr>
              <w:widowControl/>
              <w:adjustRightInd w:val="0"/>
              <w:snapToGrid w:val="0"/>
              <w:spacing w:line="214" w:lineRule="exact"/>
              <w:ind w:firstLine="420" w:firstLineChars="200"/>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6.送达责任（档案事业发展和管理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）：送达处罚决定书。</w:t>
            </w:r>
          </w:p>
          <w:p w14:paraId="63C79AE8">
            <w:pPr>
              <w:widowControl/>
              <w:adjustRightInd w:val="0"/>
              <w:snapToGrid w:val="0"/>
              <w:spacing w:line="214" w:lineRule="exact"/>
              <w:ind w:firstLine="420" w:firstLineChars="200"/>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7.执行责任（档案事业发展和管理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）：督促当事人及时履行行政处罚决定。</w:t>
            </w:r>
          </w:p>
          <w:p w14:paraId="69587209">
            <w:pPr>
              <w:widowControl/>
              <w:adjustRightInd w:val="0"/>
              <w:snapToGrid w:val="0"/>
              <w:spacing w:line="214" w:lineRule="exact"/>
              <w:ind w:firstLine="420" w:firstLineChars="200"/>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8.监管责任（档案事业发展和管理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）：对行政处罚等情况的监督检查。</w:t>
            </w:r>
          </w:p>
          <w:p w14:paraId="2061F9D6">
            <w:pPr>
              <w:keepNext w:val="0"/>
              <w:keepLines w:val="0"/>
              <w:pageBreakBefore w:val="0"/>
              <w:widowControl/>
              <w:suppressLineNumbers w:val="0"/>
              <w:kinsoku/>
              <w:wordWrap/>
              <w:overflowPunct/>
              <w:topLinePunct w:val="0"/>
              <w:autoSpaceDE/>
              <w:autoSpaceDN/>
              <w:bidi w:val="0"/>
              <w:adjustRightInd/>
              <w:snapToGrid/>
              <w:spacing w:line="236" w:lineRule="exact"/>
              <w:ind w:left="0" w:leftChars="0" w:firstLine="438" w:firstLineChars="209"/>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snapToGrid w:val="0"/>
                <w:color w:val="000000"/>
                <w:sz w:val="21"/>
                <w:szCs w:val="21"/>
              </w:rPr>
              <w:t>9.法律法规规章文件规定的其他应履行的责任（有关</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室）。</w:t>
            </w:r>
          </w:p>
        </w:tc>
        <w:tc>
          <w:tcPr>
            <w:tcW w:w="2819"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4799AC">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1.【法律】《中华人民共和国行政处罚法》第五十四条</w:t>
            </w:r>
            <w:r>
              <w:rPr>
                <w:rFonts w:hint="eastAsia" w:ascii="仿宋_GB2312" w:hAnsi="仿宋_GB2312" w:eastAsia="仿宋_GB2312" w:cs="仿宋_GB2312"/>
                <w:snapToGrid w:val="0"/>
                <w:color w:val="000000"/>
                <w:sz w:val="21"/>
                <w:szCs w:val="21"/>
                <w:lang w:val="en-US" w:eastAsia="zh-CN"/>
              </w:rPr>
              <w:t xml:space="preserve"> </w:t>
            </w:r>
            <w:r>
              <w:rPr>
                <w:rFonts w:hint="eastAsia" w:ascii="仿宋_GB2312" w:hAnsi="仿宋_GB2312" w:eastAsia="仿宋_GB2312" w:cs="仿宋_GB2312"/>
                <w:snapToGrid w:val="0"/>
                <w:color w:val="000000"/>
                <w:sz w:val="21"/>
                <w:szCs w:val="21"/>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20A6435B">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2.【法律】《中华人民共和国行政处罚法》第五十五条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73FEEF75">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3.【法律】《中华人民共和国行政处罚法》第五十六条</w:t>
            </w:r>
            <w:r>
              <w:rPr>
                <w:rFonts w:hint="eastAsia" w:ascii="仿宋_GB2312" w:hAnsi="仿宋_GB2312" w:eastAsia="仿宋_GB2312" w:cs="仿宋_GB2312"/>
                <w:snapToGrid w:val="0"/>
                <w:color w:val="000000"/>
                <w:sz w:val="21"/>
                <w:szCs w:val="21"/>
                <w:lang w:val="en-US" w:eastAsia="zh-CN"/>
              </w:rPr>
              <w:t xml:space="preserve"> </w:t>
            </w:r>
            <w:r>
              <w:rPr>
                <w:rFonts w:hint="eastAsia" w:ascii="仿宋_GB2312" w:hAnsi="仿宋_GB2312" w:eastAsia="仿宋_GB2312" w:cs="仿宋_GB2312"/>
                <w:snapToGrid w:val="0"/>
                <w:color w:val="000000"/>
                <w:sz w:val="21"/>
                <w:szCs w:val="21"/>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3D4B47FA">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4.【法律】《中华人民共和国行政处罚法》第五十七条</w:t>
            </w:r>
            <w:r>
              <w:rPr>
                <w:rFonts w:hint="eastAsia" w:ascii="仿宋_GB2312" w:hAnsi="仿宋_GB2312" w:eastAsia="仿宋_GB2312" w:cs="仿宋_GB2312"/>
                <w:snapToGrid w:val="0"/>
                <w:color w:val="000000"/>
                <w:sz w:val="21"/>
                <w:szCs w:val="21"/>
                <w:lang w:val="en-US" w:eastAsia="zh-CN"/>
              </w:rPr>
              <w:t xml:space="preserve"> </w:t>
            </w:r>
            <w:r>
              <w:rPr>
                <w:rFonts w:hint="eastAsia" w:ascii="仿宋_GB2312" w:hAnsi="仿宋_GB2312" w:eastAsia="仿宋_GB2312" w:cs="仿宋_GB2312"/>
                <w:snapToGrid w:val="0"/>
                <w:color w:val="000000"/>
                <w:sz w:val="21"/>
                <w:szCs w:val="21"/>
              </w:rPr>
              <w:t>调查终结，行政机关负责人应当对调查结果进行审查，根据不同情况，分别作出如下决定：</w:t>
            </w:r>
          </w:p>
          <w:p w14:paraId="496EC504">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（一）确有应受行政处罚的违法行为的，根据情节轻重及具体情况，作出行政处罚决定；</w:t>
            </w:r>
          </w:p>
          <w:p w14:paraId="07D658FE">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（二）违法行为轻微，依法可以不予行政处罚的，不予行政处罚；</w:t>
            </w:r>
          </w:p>
          <w:p w14:paraId="2B543E22">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（三）违法事实不能成立的，不予行政处罚；</w:t>
            </w:r>
          </w:p>
          <w:p w14:paraId="5EAD1095">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（四）违法行为涉嫌犯罪的，移送司法机关。</w:t>
            </w:r>
          </w:p>
          <w:p w14:paraId="7B247B22">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对情节复杂或者重大违法行为给予行政处罚，行政机关负责人应当集体讨论决定。</w:t>
            </w:r>
          </w:p>
          <w:p w14:paraId="21D176C9">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5.【法律】《中华人民共和国行政处罚法》第五十八条 有下列情形之一，在行政机关负责人作出行政处罚的决定之前，应当由从事行政处罚决定法制审核的人员进行法制审核；未经法制审核或者审核未通过的，不得作出决定：</w:t>
            </w:r>
          </w:p>
          <w:p w14:paraId="5A5A01F7">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（一）涉及重大公共利益的；</w:t>
            </w:r>
          </w:p>
          <w:p w14:paraId="26011661">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（二）直接关系当事人或者第三人重大权益，经过听证程序的；</w:t>
            </w:r>
          </w:p>
          <w:p w14:paraId="069F2EC3">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（三）案件情况疑难复杂、涉及多个法律关系的；</w:t>
            </w:r>
          </w:p>
          <w:p w14:paraId="2763C434">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（四）法律、法规规定应当进行法制审核的其他情形。</w:t>
            </w:r>
          </w:p>
          <w:p w14:paraId="26416286">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行政机关中初次从事行政处罚决定法制审核的人员，应当通过国家统一法律职业资格考试取得法律职业资格。</w:t>
            </w:r>
          </w:p>
          <w:p w14:paraId="70A332C8">
            <w:pPr>
              <w:widowControl/>
              <w:adjustRightInd w:val="0"/>
              <w:snapToGrid w:val="0"/>
              <w:spacing w:line="214" w:lineRule="exact"/>
              <w:jc w:val="both"/>
              <w:rPr>
                <w:rFonts w:hint="eastAsia" w:ascii="仿宋_GB2312" w:hAnsi="仿宋_GB2312" w:eastAsia="仿宋_GB2312" w:cs="仿宋_GB2312"/>
                <w:snapToGrid w:val="0"/>
                <w:color w:val="000000"/>
                <w:sz w:val="21"/>
                <w:szCs w:val="21"/>
                <w:lang w:eastAsia="zh-CN"/>
              </w:rPr>
            </w:pPr>
            <w:r>
              <w:rPr>
                <w:rFonts w:hint="eastAsia" w:ascii="仿宋_GB2312" w:hAnsi="仿宋_GB2312" w:eastAsia="仿宋_GB2312" w:cs="仿宋_GB2312"/>
                <w:snapToGrid w:val="0"/>
                <w:color w:val="000000"/>
                <w:sz w:val="21"/>
                <w:szCs w:val="21"/>
              </w:rPr>
              <w:t>6.【法律】《中华人民共和国行政处罚法》第六十条</w:t>
            </w:r>
            <w:r>
              <w:rPr>
                <w:rFonts w:hint="eastAsia" w:ascii="仿宋_GB2312" w:hAnsi="仿宋_GB2312" w:eastAsia="仿宋_GB2312" w:cs="仿宋_GB2312"/>
                <w:snapToGrid w:val="0"/>
                <w:color w:val="000000"/>
                <w:sz w:val="21"/>
                <w:szCs w:val="21"/>
                <w:lang w:val="en-US" w:eastAsia="zh-CN"/>
              </w:rPr>
              <w:t xml:space="preserve"> </w:t>
            </w:r>
            <w:r>
              <w:rPr>
                <w:rFonts w:hint="eastAsia" w:ascii="仿宋_GB2312" w:hAnsi="仿宋_GB2312" w:eastAsia="仿宋_GB2312" w:cs="仿宋_GB2312"/>
                <w:snapToGrid w:val="0"/>
                <w:color w:val="000000"/>
                <w:sz w:val="21"/>
                <w:szCs w:val="21"/>
              </w:rPr>
              <w:t xml:space="preserve"> </w:t>
            </w:r>
            <w:r>
              <w:rPr>
                <w:rFonts w:hint="eastAsia" w:ascii="仿宋_GB2312" w:hAnsi="仿宋_GB2312" w:eastAsia="仿宋_GB2312" w:cs="仿宋_GB2312"/>
                <w:snapToGrid w:val="0"/>
                <w:color w:val="000000"/>
                <w:sz w:val="21"/>
                <w:szCs w:val="21"/>
                <w:lang w:val="en-US" w:eastAsia="zh-CN"/>
              </w:rPr>
              <w:t xml:space="preserve">           </w:t>
            </w:r>
            <w:r>
              <w:rPr>
                <w:rFonts w:hint="eastAsia" w:ascii="仿宋_GB2312" w:hAnsi="仿宋_GB2312" w:eastAsia="仿宋_GB2312" w:cs="仿宋_GB2312"/>
                <w:snapToGrid w:val="0"/>
                <w:color w:val="000000"/>
                <w:sz w:val="21"/>
                <w:szCs w:val="21"/>
              </w:rPr>
              <w:t>行政机关应当自行政处罚案件立案之日起九十日内作出行政处罚决定。……</w:t>
            </w:r>
            <w:r>
              <w:rPr>
                <w:rFonts w:hint="eastAsia" w:ascii="仿宋_GB2312" w:hAnsi="仿宋_GB2312" w:eastAsia="仿宋_GB2312" w:cs="仿宋_GB2312"/>
                <w:snapToGrid w:val="0"/>
                <w:color w:val="000000"/>
                <w:sz w:val="21"/>
                <w:szCs w:val="21"/>
                <w:lang w:eastAsia="zh-CN"/>
              </w:rPr>
              <w:t>。</w:t>
            </w:r>
          </w:p>
          <w:p w14:paraId="5A6E7758">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7.【法律】《中华人民共和国行政处罚法》第六十一条 行政处罚决定书应当在宣告后当场交付当事人；当事人不在场的，行政机关应当在七日内依照《中华人民共和国民事诉讼法》的有关规定，将行政处罚决定书送达当事人。</w:t>
            </w:r>
          </w:p>
          <w:p w14:paraId="07545573">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当事人同意并签订确认书的，行政机关可以采用传真、电子邮件等方式，将行政处罚决定书等送达当事人。</w:t>
            </w:r>
          </w:p>
          <w:p w14:paraId="5153E85F">
            <w:pPr>
              <w:widowControl/>
              <w:adjustRightInd w:val="0"/>
              <w:snapToGrid w:val="0"/>
              <w:spacing w:line="214" w:lineRule="exact"/>
              <w:jc w:val="both"/>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8.【法律】《中华人民共和国行政处罚法》第六十六条 行政处罚决定依法作出后，当事人应当在行政处罚决定书载明的期限内，予以履行。……</w:t>
            </w:r>
            <w:r>
              <w:rPr>
                <w:rFonts w:hint="eastAsia" w:ascii="仿宋_GB2312" w:hAnsi="仿宋_GB2312" w:eastAsia="仿宋_GB2312" w:cs="仿宋_GB2312"/>
                <w:snapToGrid w:val="0"/>
                <w:color w:val="000000"/>
                <w:sz w:val="21"/>
                <w:szCs w:val="21"/>
                <w:lang w:eastAsia="zh-CN"/>
              </w:rPr>
              <w:t>。</w:t>
            </w:r>
          </w:p>
          <w:p w14:paraId="5D2830C4">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9.【法律】《中华人民共和国行政处罚法》第七十五条 行政机关应当建立健全对行政处罚的监督制度。县级以上人民政府应当定期组织开展行政执法评议、考核，加强对行政处罚的监督检查，规范和保障行政处罚的实施。</w:t>
            </w:r>
          </w:p>
          <w:p w14:paraId="31294B69">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snapToGrid w:val="0"/>
                <w:color w:val="000000"/>
                <w:sz w:val="21"/>
                <w:szCs w:val="21"/>
              </w:rPr>
            </w:pPr>
          </w:p>
          <w:p w14:paraId="6CFB3C0D">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snapToGrid w:val="0"/>
                <w:color w:val="000000"/>
                <w:sz w:val="21"/>
                <w:szCs w:val="21"/>
                <w:lang w:val="en-US" w:eastAsia="zh-CN"/>
              </w:rPr>
            </w:pPr>
          </w:p>
        </w:tc>
        <w:tc>
          <w:tcPr>
            <w:tcW w:w="2047"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D4FB75">
            <w:pPr>
              <w:keepNext w:val="0"/>
              <w:keepLines w:val="0"/>
              <w:pageBreakBefore w:val="0"/>
              <w:widowControl/>
              <w:suppressLineNumbers w:val="0"/>
              <w:kinsoku/>
              <w:wordWrap/>
              <w:overflowPunct/>
              <w:topLinePunct w:val="0"/>
              <w:autoSpaceDE/>
              <w:autoSpaceDN/>
              <w:bidi w:val="0"/>
              <w:adjustRightInd/>
              <w:snapToGrid/>
              <w:spacing w:line="236" w:lineRule="exact"/>
              <w:ind w:left="0" w:leftChars="0" w:firstLine="438" w:firstLineChars="209"/>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因不履行或不正确履行行政职责，有下列情形的行政机关及相关工作人员应承担相应责任：</w:t>
            </w:r>
          </w:p>
          <w:p w14:paraId="6310419A">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1.没有依据实施的（驻市委办纪检组）；</w:t>
            </w:r>
          </w:p>
          <w:p w14:paraId="012EA6D9">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2.擅自改变处罚种类、幅度的（驻市委办纪检组）；</w:t>
            </w:r>
          </w:p>
          <w:p w14:paraId="54BFF9F8">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3.违反程序实施的（驻市委办纪检组）；</w:t>
            </w:r>
          </w:p>
          <w:p w14:paraId="4C68EC8F">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4.不具备主体资格实施的（驻市委办纪检组）；</w:t>
            </w:r>
          </w:p>
          <w:p w14:paraId="0FC2BF71">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5.违法处理罚没财物（驻市委办纪检组）；</w:t>
            </w:r>
          </w:p>
          <w:p w14:paraId="1ED7A866">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6.不移交司法机关（驻市委办纪检组）；</w:t>
            </w:r>
          </w:p>
          <w:p w14:paraId="2D48B726">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7.对违法行为应当处罚不处罚或者乱处罚（驻市委办纪检组）；</w:t>
            </w:r>
          </w:p>
          <w:p w14:paraId="5FD55B55">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8.不组织听证（驻市委办纪检组）；</w:t>
            </w:r>
          </w:p>
          <w:p w14:paraId="1794A5AE">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9.给公民人身或者财产造成损害的（驻市委办纪检组）；</w:t>
            </w:r>
          </w:p>
          <w:p w14:paraId="11F5EBE3">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10.发生腐败行为的（驻市委办纪检组）；</w:t>
            </w:r>
          </w:p>
          <w:p w14:paraId="6E10DC25">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11.除以上追责情形外，其他违反法律法规规章的行为依法追究相应责任（驻市委办纪检组）。</w:t>
            </w:r>
          </w:p>
        </w:tc>
        <w:tc>
          <w:tcPr>
            <w:tcW w:w="4058"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315C5D">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1.【法律】《中华人民共和国行政处罚法》第七十六条：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行政机关对符合立案标准的案件不及时立案的，依照前款规定予以处理。</w:t>
            </w:r>
          </w:p>
          <w:p w14:paraId="371A8FD7">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2.同1。</w:t>
            </w:r>
          </w:p>
          <w:p w14:paraId="397CD4CF">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3.同1。</w:t>
            </w:r>
          </w:p>
          <w:p w14:paraId="70D1C92F">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4.同1。</w:t>
            </w:r>
          </w:p>
          <w:p w14:paraId="5FA87812">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执法人员利用职务上的便利，索取或者收受他人财物、将收缴罚款据为己有，构成犯罪的，依法追究刑事责任；情节轻微不构成犯罪的，依法给予处分。</w:t>
            </w:r>
          </w:p>
          <w:p w14:paraId="6F8E6E66">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14:paraId="25B132C2">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7.【法律】《中华人民共和国行政处罚法》第八十一条：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p>
          <w:p w14:paraId="65273BF9">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8.【法律】《中华人民共和国行政处罚法》第六十三条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第七十六条　行政机关实施行政处罚，有下列情形之一，由上级行政机关或者有关机关责令改正，对直接负责的主管人员和其他直接责任人员依法给予处分：……（三）违反法定的行政处罚程序的；……。</w:t>
            </w:r>
          </w:p>
          <w:p w14:paraId="32544861">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9.【法律】《中华人民共和国行政处罚法》第八十一条：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615ED094">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10.同5。</w:t>
            </w:r>
          </w:p>
        </w:tc>
        <w:tc>
          <w:tcPr>
            <w:tcW w:w="1404"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9BB3B9">
            <w:pPr>
              <w:keepNext w:val="0"/>
              <w:keepLines w:val="0"/>
              <w:pageBreakBefore w:val="0"/>
              <w:widowControl/>
              <w:suppressLineNumbers w:val="0"/>
              <w:kinsoku/>
              <w:wordWrap/>
              <w:overflowPunct/>
              <w:topLinePunct w:val="0"/>
              <w:autoSpaceDE/>
              <w:autoSpaceDN/>
              <w:bidi w:val="0"/>
              <w:adjustRightInd/>
              <w:snapToGrid/>
              <w:spacing w:line="236" w:lineRule="exact"/>
              <w:ind w:left="0" w:leftChars="0" w:firstLine="420" w:firstLineChars="200"/>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法律法规规定的免责情形及自治区党委、自治区人民政府、市委、市政府有关文件中明确的免责情形。</w:t>
            </w:r>
          </w:p>
        </w:tc>
        <w:tc>
          <w:tcPr>
            <w:tcW w:w="609"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965848">
            <w:pPr>
              <w:keepNext w:val="0"/>
              <w:keepLines w:val="0"/>
              <w:pageBreakBefore w:val="0"/>
              <w:widowControl/>
              <w:suppressLineNumbers w:val="0"/>
              <w:kinsoku/>
              <w:wordWrap/>
              <w:overflowPunct/>
              <w:topLinePunct w:val="0"/>
              <w:autoSpaceDE/>
              <w:autoSpaceDN/>
              <w:bidi w:val="0"/>
              <w:adjustRightInd/>
              <w:snapToGrid/>
              <w:spacing w:line="236" w:lineRule="exact"/>
              <w:jc w:val="both"/>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p>
        </w:tc>
      </w:tr>
      <w:tr w14:paraId="1F8FE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1647F0">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48AE753">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E82F9D">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C44F60">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710F36">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8A0FDA">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277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95256E">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265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8F800B">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2819"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9A7CE4">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204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6D83A4">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4058"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8D81A1">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404"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B2181A">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B824E0">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14:paraId="05E9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A3941C">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114C4F7">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D9AFC0">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8A406E">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E66E24">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11A009">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277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A7C65C">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265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D853FA">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2819"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8E9E1A">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204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BCCDE4">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4058"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71A9CB">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404"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F7DA21">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42F20C">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14:paraId="7241D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5DDA3E">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765" w:type="dxa"/>
            <w:tcBorders>
              <w:top w:val="single" w:color="auto" w:sz="4" w:space="0"/>
              <w:left w:val="single" w:color="000000" w:sz="4" w:space="0"/>
              <w:bottom w:val="single" w:color="auto" w:sz="4" w:space="0"/>
              <w:right w:val="single" w:color="000000" w:sz="4" w:space="0"/>
            </w:tcBorders>
            <w:shd w:val="clear" w:color="auto" w:fill="auto"/>
            <w:noWrap w:val="0"/>
            <w:tcMar>
              <w:top w:w="57" w:type="dxa"/>
              <w:left w:w="57" w:type="dxa"/>
              <w:bottom w:w="57" w:type="dxa"/>
              <w:right w:w="57" w:type="dxa"/>
            </w:tcMar>
            <w:vAlign w:val="center"/>
          </w:tcPr>
          <w:p w14:paraId="181DBA40">
            <w:pPr>
              <w:widowControl/>
              <w:adjustRightInd w:val="0"/>
              <w:snapToGrid w:val="0"/>
              <w:spacing w:line="214" w:lineRule="exact"/>
              <w:jc w:val="left"/>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sz w:val="21"/>
                <w:szCs w:val="21"/>
              </w:rPr>
              <w:t>行政处罚</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2ADB5B43">
            <w:pPr>
              <w:widowControl/>
              <w:adjustRightInd w:val="0"/>
              <w:snapToGrid w:val="0"/>
              <w:spacing w:line="214" w:lineRule="exact"/>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sz w:val="21"/>
                <w:szCs w:val="21"/>
              </w:rPr>
              <w:t>对利用档案馆档案违法行为的处罚</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3991F21E">
            <w:pPr>
              <w:widowControl/>
              <w:adjustRightInd w:val="0"/>
              <w:snapToGrid w:val="0"/>
              <w:spacing w:line="214" w:lineRule="exact"/>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sz w:val="21"/>
                <w:szCs w:val="21"/>
              </w:rPr>
              <w:t>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2C76A414">
            <w:pPr>
              <w:widowControl/>
              <w:adjustRightInd w:val="0"/>
              <w:snapToGrid w:val="0"/>
              <w:spacing w:line="214" w:lineRule="exact"/>
              <w:jc w:val="center"/>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sz w:val="21"/>
                <w:szCs w:val="21"/>
                <w:lang w:eastAsia="zh-CN"/>
              </w:rPr>
              <w:t>市委办（市档案局）</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2CE1917E">
            <w:pPr>
              <w:widowControl/>
              <w:adjustRightInd w:val="0"/>
              <w:snapToGrid w:val="0"/>
              <w:spacing w:line="214" w:lineRule="exact"/>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kern w:val="2"/>
                <w:sz w:val="21"/>
                <w:szCs w:val="21"/>
                <w:lang w:val="en-US" w:eastAsia="zh-CN" w:bidi="ar-SA"/>
              </w:rPr>
              <w:t>档案事业发展和管理科</w:t>
            </w:r>
          </w:p>
        </w:tc>
        <w:tc>
          <w:tcPr>
            <w:tcW w:w="2775"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38C32358">
            <w:pPr>
              <w:widowControl/>
              <w:adjustRightInd w:val="0"/>
              <w:snapToGrid w:val="0"/>
              <w:spacing w:line="214" w:lineRule="exact"/>
              <w:ind w:firstLine="420" w:firstLineChars="200"/>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kern w:val="2"/>
                <w:sz w:val="21"/>
                <w:szCs w:val="21"/>
                <w:lang w:val="en-US" w:eastAsia="zh-CN" w:bidi="ar-SA"/>
              </w:rPr>
              <w:t xml:space="preserve">【法律】《中华人民共和国档案法》第四十八条“单位或者个人有下列行为之一，由县级以上档案主管部门、有关机关对直接负责的主管人员和其他直接责任人员依法给予处分：   </w:t>
            </w:r>
          </w:p>
          <w:p w14:paraId="15CBB9F6">
            <w:pPr>
              <w:widowControl/>
              <w:adjustRightInd w:val="0"/>
              <w:snapToGrid w:val="0"/>
              <w:spacing w:line="214" w:lineRule="exact"/>
              <w:ind w:firstLine="420" w:firstLineChars="200"/>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kern w:val="2"/>
                <w:sz w:val="21"/>
                <w:szCs w:val="21"/>
                <w:lang w:val="en-US" w:eastAsia="zh-CN" w:bidi="ar-SA"/>
              </w:rPr>
              <w:t>（一）丢失属于国家所有的档案的；</w:t>
            </w:r>
          </w:p>
          <w:p w14:paraId="787F958B">
            <w:pPr>
              <w:widowControl/>
              <w:adjustRightInd w:val="0"/>
              <w:snapToGrid w:val="0"/>
              <w:spacing w:line="214" w:lineRule="exact"/>
              <w:ind w:firstLine="420" w:firstLineChars="200"/>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kern w:val="2"/>
                <w:sz w:val="21"/>
                <w:szCs w:val="21"/>
                <w:lang w:val="en-US" w:eastAsia="zh-CN" w:bidi="ar-SA"/>
              </w:rPr>
              <w:t xml:space="preserve">（二）擅自提供、抄录、复制、公布属于国家所有的档案的； </w:t>
            </w:r>
          </w:p>
          <w:p w14:paraId="39694D64">
            <w:pPr>
              <w:widowControl/>
              <w:adjustRightInd w:val="0"/>
              <w:snapToGrid w:val="0"/>
              <w:spacing w:line="214" w:lineRule="exact"/>
              <w:ind w:firstLine="420" w:firstLineChars="200"/>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kern w:val="2"/>
                <w:sz w:val="21"/>
                <w:szCs w:val="21"/>
                <w:lang w:val="en-US" w:eastAsia="zh-CN" w:bidi="ar-SA"/>
              </w:rPr>
              <w:t>（三）篡改、损毁、伪造档案或者擅自销毁档案的；……。”</w:t>
            </w:r>
          </w:p>
          <w:p w14:paraId="4197B5A1">
            <w:pPr>
              <w:widowControl/>
              <w:adjustRightInd w:val="0"/>
              <w:snapToGrid w:val="0"/>
              <w:spacing w:line="214" w:lineRule="exact"/>
              <w:ind w:firstLine="420" w:firstLineChars="200"/>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kern w:val="2"/>
                <w:sz w:val="21"/>
                <w:szCs w:val="21"/>
                <w:lang w:val="en-US" w:eastAsia="zh-CN" w:bidi="ar-SA"/>
              </w:rPr>
              <w:t>第四十九条第一款“利用档案馆的档案，有本法第四十八条第一项、第二项、第四项违法行为之一的，由县级以上档案主管部门给予警告，并对单位处一万元以上十万元以下的罚款，对个人处五百元以上五千元以下的罚款。”</w:t>
            </w:r>
          </w:p>
          <w:p w14:paraId="0E333AC9">
            <w:pPr>
              <w:widowControl/>
              <w:adjustRightInd w:val="0"/>
              <w:snapToGrid w:val="0"/>
              <w:spacing w:line="214" w:lineRule="exact"/>
              <w:ind w:firstLine="420" w:firstLineChars="200"/>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kern w:val="2"/>
                <w:sz w:val="21"/>
                <w:szCs w:val="21"/>
                <w:lang w:val="en-US" w:eastAsia="zh-CN" w:bidi="ar-SA"/>
              </w:rPr>
              <w:t>第二款“档案服务企业在服务过程中有本法第四十八条第一项、第二项、第四项违法行为之一的，由县级以上档案主管部门给予警告，并处二万元以上二十万元以下的罚款。”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916DEC">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1.立案责任（档案事业发展和管理科）：对在监督管理中发现的、举报的、上级部门交办或移送的线索予以审查，决定是否立案。</w:t>
            </w:r>
          </w:p>
          <w:p w14:paraId="181C8020">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2.调查责任（档案事业发展和管理科）：进行调查，收集证据，并记录保存。</w:t>
            </w:r>
          </w:p>
          <w:p w14:paraId="23F42836">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3.复核审查责任（档案事业发展和管理科）：对事实认定、法律适用执法程序等进行审查，提出审查意见。</w:t>
            </w:r>
          </w:p>
          <w:p w14:paraId="01BF401C">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4.告知责任（档案事业发展和管理科）：事先告知处罚的事实、理由、依据及享有的陈述、申辩等权利。</w:t>
            </w:r>
          </w:p>
          <w:p w14:paraId="5493B691">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5.决定责任（档案事业发展和管理科）：依法作出行政处罚决定。</w:t>
            </w:r>
          </w:p>
          <w:p w14:paraId="3AA58C25">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6.送达责任（档案事业发展和管理科）：送达处罚决定书。</w:t>
            </w:r>
          </w:p>
          <w:p w14:paraId="3717629B">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7.执行责任（档案事业发展和管理科）：督促当事人及时履行行政处罚决定。</w:t>
            </w:r>
          </w:p>
          <w:p w14:paraId="436ADBE1">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8.监管责任（档案事业发展和管理科）：对行政处罚等情况的监督检查。</w:t>
            </w:r>
          </w:p>
          <w:p w14:paraId="2E419580">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9.法律法规规章文件规定的其他应履行的责任（有关科室）</w:t>
            </w:r>
          </w:p>
        </w:tc>
        <w:tc>
          <w:tcPr>
            <w:tcW w:w="281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AD4D6B">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1.【法律】《中华人民共和国行政处罚法》第五十五条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323143DF">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法律】《中华人民共和国行政处罚法》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32B14E9D">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3.【法律】《中华人民共和国行政处罚法》第五十七条 调查终结，行政机关负责人应当对调查结果进行审查，根据不同情况，分别作出如下决定：</w:t>
            </w:r>
          </w:p>
          <w:p w14:paraId="0F283F9B">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（一）确有应受行政处罚的违法行为的，根据情节轻重及具体情况，作出行政处罚决定；</w:t>
            </w:r>
          </w:p>
          <w:p w14:paraId="4545C646">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（二）违法行为轻微，依法可以不予行政处罚的，不予行政处罚；</w:t>
            </w:r>
          </w:p>
          <w:p w14:paraId="19519850">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（三）违法事实不能成立的，不予行政处罚；</w:t>
            </w:r>
          </w:p>
          <w:p w14:paraId="2D92CBF9">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（四）违法行为涉嫌犯罪的，移送司法机关。</w:t>
            </w:r>
          </w:p>
          <w:p w14:paraId="3CF9A0F5">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对情节复杂或者重大违法行为给予行政处罚，行政机关负责人应当集体讨论决定。</w:t>
            </w:r>
          </w:p>
          <w:p w14:paraId="2FFDB325">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4.【法律】《中华人民共和国行政处罚法》第五十八条　有下列情形之一，在行政机关负责人作出行政处罚的决定之前，应当由从事行政处罚决定法制审核的人员进行法制审核；未经法制审核或者审核未通过的，不得作出决定：</w:t>
            </w:r>
          </w:p>
          <w:p w14:paraId="3298688C">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（一）涉及重大公共利益的；</w:t>
            </w:r>
          </w:p>
          <w:p w14:paraId="3DF93F98">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（二）直接关系当事人或者第三人重大权益，经过听证程序的；</w:t>
            </w:r>
          </w:p>
          <w:p w14:paraId="041BDBC9">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（三）案件情况疑难复杂、涉及多个法律关系的；</w:t>
            </w:r>
          </w:p>
          <w:p w14:paraId="5E081C57">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（四）法律、法规规定应当进行法制审核的其他情形。</w:t>
            </w:r>
          </w:p>
          <w:p w14:paraId="5348FF27">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行政机关中初次从事行政处罚决定法制审核的人员，应当通过国家统一法律职业资格考试取得法律职业资格。</w:t>
            </w:r>
          </w:p>
          <w:p w14:paraId="22AA7B6E">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5.【法律】《中华人民共和国行政处罚法》第六十条　行政机关应当自行政处罚案件立案之日起九十日内作出行政处罚决定。……</w:t>
            </w:r>
          </w:p>
          <w:p w14:paraId="5081F78F">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6.【法律】《中华人民共和国行政处罚法》第六十一条　行政处罚决定书应当在宣告后当场交付当事人；当事人不在场的，行政机关应当在七日内依照《中华人民共和国民事诉讼法》的有关规定，将行政处罚决定书送达当事人。</w:t>
            </w:r>
          </w:p>
          <w:p w14:paraId="5672340D">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当事人同意并签订确认书的，行政机关可以采用传真、电子邮件等方式，将行政处罚决定书等送达当事人。</w:t>
            </w:r>
          </w:p>
          <w:p w14:paraId="1D562789">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7.【法律】《中华人民共和国行政处罚法》第六十六条　行政处罚决定依法作出后，当事人应当在行政处罚决定书载明的期限内，予以履行。……</w:t>
            </w:r>
          </w:p>
          <w:p w14:paraId="70EF114A">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8.【法律】《中华人民共和国行政处罚法》第七十五条　行政机关应当建立健全对行政处罚的监督制度。县级以上人民政府应当定期组织开展行政执法评议、考核，加强对行政处罚的监督检查，规范和保障行政处罚的实施。</w:t>
            </w:r>
          </w:p>
          <w:p w14:paraId="28313464">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204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DBCA52">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38" w:firstLineChars="209"/>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因不履行或不正确履行行政职责，有下列情形的行政机关及相关工作人员应承担相应责任：</w:t>
            </w:r>
          </w:p>
          <w:p w14:paraId="3527F4D1">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1.没有依据实施的（驻市委办纪检组）；</w:t>
            </w:r>
          </w:p>
          <w:p w14:paraId="508045AD">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2.擅自改变处罚种类、幅度的（驻市委办纪检组）；</w:t>
            </w:r>
          </w:p>
          <w:p w14:paraId="747DACEB">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3.违反程序实施的（驻市委办纪检组）；</w:t>
            </w:r>
          </w:p>
          <w:p w14:paraId="2F65B49B">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4.不具备主体资格实施的（驻市委办纪检组）；</w:t>
            </w:r>
          </w:p>
          <w:p w14:paraId="6B07E00F">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5.违法处理罚没财物（驻市委办纪检组）；</w:t>
            </w:r>
          </w:p>
          <w:p w14:paraId="1670C723">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6.不移交司法机关（驻市委办纪检组）；</w:t>
            </w:r>
          </w:p>
          <w:p w14:paraId="5ADAE632">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7.对违法行为应当处罚不处罚或者乱处罚（驻市委办纪检组）；</w:t>
            </w:r>
          </w:p>
          <w:p w14:paraId="4D57F8FF">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8.不组织听证（驻市委办纪检组）；</w:t>
            </w:r>
          </w:p>
          <w:p w14:paraId="6B24240C">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9.给公民人身或者财产造成损害的（驻市委办纪检组）；</w:t>
            </w:r>
          </w:p>
          <w:p w14:paraId="7914A335">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10.发生腐败行为的（驻市委办纪检组）；</w:t>
            </w:r>
          </w:p>
          <w:p w14:paraId="20445964">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11.除以上追责情形外，其他违反法律法规规章的行为依法追究相应责任（驻市委办纪检组）。</w:t>
            </w:r>
          </w:p>
          <w:p w14:paraId="0F5CBBA8">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405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BE4C19">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法律】《中华人民共和国行政处罚法》第七十六条：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行政机关对符合立案标准的案件不及时立案的，依照前款规定予以处理。</w:t>
            </w:r>
          </w:p>
          <w:p w14:paraId="21978408">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2.同1。</w:t>
            </w:r>
          </w:p>
          <w:p w14:paraId="078C83F6">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3.同1。</w:t>
            </w:r>
          </w:p>
          <w:p w14:paraId="2527A8CF">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4.同1。</w:t>
            </w:r>
          </w:p>
          <w:p w14:paraId="19C79FFD">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执法人员利用职务上的便利，索取或者收受他人财物、将收缴罚款据为己有，构成犯罪的，依法追究刑事责任；情节轻微不构成犯罪的，依法给予处分。</w:t>
            </w:r>
          </w:p>
          <w:p w14:paraId="3B256703">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14:paraId="00B47858">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7.【法律】《中华人民共和国行政处罚法》第八十一条：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p>
          <w:p w14:paraId="2DD383B7">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8.【法律】《中华人民共和国行政处罚法》第六十三条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第七十六条　行政机关实施行政处罚，有下列情形之一，由上级行政机关或者有关机关责令改正，对直接负责的主管人员和其他直接责任人员依法给予处分：</w:t>
            </w:r>
            <w:r>
              <w:rPr>
                <w:rFonts w:hint="default" w:ascii="汉仪中秀体简" w:hAnsi="汉仪中秀体简" w:eastAsia="仿宋_GB2312" w:cs="汉仪中秀体简"/>
                <w:i w:val="0"/>
                <w:iCs w:val="0"/>
                <w:color w:val="000000"/>
                <w:kern w:val="0"/>
                <w:sz w:val="21"/>
                <w:szCs w:val="21"/>
                <w:u w:val="none"/>
                <w:lang w:val="en-US" w:eastAsia="zh-CN" w:bidi="ar"/>
              </w:rPr>
              <w:t>……</w:t>
            </w:r>
            <w:r>
              <w:rPr>
                <w:rFonts w:hint="eastAsia" w:ascii="仿宋_GB2312" w:hAnsi="仿宋_GB2312" w:eastAsia="仿宋_GB2312" w:cs="仿宋_GB2312"/>
                <w:i w:val="0"/>
                <w:iCs w:val="0"/>
                <w:color w:val="000000"/>
                <w:kern w:val="0"/>
                <w:sz w:val="21"/>
                <w:szCs w:val="21"/>
                <w:u w:val="none"/>
                <w:lang w:val="en-US" w:eastAsia="zh-CN" w:bidi="ar"/>
              </w:rPr>
              <w:t>（三）违反法定的行政处罚程序的；</w:t>
            </w:r>
          </w:p>
          <w:p w14:paraId="6AB02AB7">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9.【法律】《中华人民共和国行政处罚法》第八十一条：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6D58B18D">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10.同5。</w:t>
            </w:r>
          </w:p>
        </w:tc>
        <w:tc>
          <w:tcPr>
            <w:tcW w:w="1404"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80617F">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法律法规规定的免责情形及自治区党委、自治区人民政府、市委、市政府有关文件中明确的免责情形。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F8DC52">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14:paraId="1F30E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4"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22FF6D">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765" w:type="dxa"/>
            <w:tcBorders>
              <w:top w:val="single" w:color="auto" w:sz="4" w:space="0"/>
              <w:left w:val="single" w:color="000000" w:sz="4" w:space="0"/>
              <w:bottom w:val="single" w:color="auto" w:sz="4" w:space="0"/>
              <w:right w:val="single" w:color="000000" w:sz="4" w:space="0"/>
            </w:tcBorders>
            <w:shd w:val="clear" w:color="auto" w:fill="auto"/>
            <w:noWrap w:val="0"/>
            <w:tcMar>
              <w:top w:w="57" w:type="dxa"/>
              <w:left w:w="57" w:type="dxa"/>
              <w:bottom w:w="57" w:type="dxa"/>
              <w:right w:w="57" w:type="dxa"/>
            </w:tcMar>
            <w:vAlign w:val="center"/>
          </w:tcPr>
          <w:p w14:paraId="0AC33F78">
            <w:pPr>
              <w:widowControl/>
              <w:adjustRightInd w:val="0"/>
              <w:snapToGrid w:val="0"/>
              <w:spacing w:line="230" w:lineRule="exact"/>
              <w:jc w:val="left"/>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sz w:val="21"/>
                <w:szCs w:val="21"/>
              </w:rPr>
              <w:t>行政检查</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13C11DA5">
            <w:pPr>
              <w:widowControl/>
              <w:adjustRightInd w:val="0"/>
              <w:snapToGrid w:val="0"/>
              <w:spacing w:line="230" w:lineRule="exact"/>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sz w:val="21"/>
                <w:szCs w:val="21"/>
              </w:rPr>
              <w:t>档案执法监督检查</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7F42BB0A">
            <w:pPr>
              <w:widowControl/>
              <w:adjustRightInd w:val="0"/>
              <w:snapToGrid w:val="0"/>
              <w:spacing w:line="214" w:lineRule="exact"/>
              <w:rPr>
                <w:rFonts w:hint="eastAsia" w:ascii="仿宋_GB2312" w:hAnsi="仿宋_GB2312" w:eastAsia="仿宋_GB2312" w:cs="仿宋_GB2312"/>
                <w:snapToGrid w:val="0"/>
                <w:color w:val="000000"/>
                <w:sz w:val="21"/>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077B0E2B">
            <w:pPr>
              <w:widowControl/>
              <w:adjustRightInd w:val="0"/>
              <w:snapToGrid w:val="0"/>
              <w:spacing w:line="214" w:lineRule="exact"/>
              <w:jc w:val="center"/>
              <w:rPr>
                <w:rFonts w:hint="eastAsia" w:ascii="仿宋_GB2312" w:hAnsi="仿宋_GB2312" w:eastAsia="仿宋_GB2312" w:cs="仿宋_GB2312"/>
                <w:snapToGrid w:val="0"/>
                <w:color w:val="000000"/>
                <w:sz w:val="21"/>
                <w:szCs w:val="21"/>
                <w:lang w:eastAsia="zh-CN"/>
              </w:rPr>
            </w:pPr>
            <w:r>
              <w:rPr>
                <w:rFonts w:hint="eastAsia" w:ascii="仿宋_GB2312" w:hAnsi="仿宋_GB2312" w:eastAsia="仿宋_GB2312" w:cs="仿宋_GB2312"/>
                <w:snapToGrid w:val="0"/>
                <w:color w:val="000000"/>
                <w:sz w:val="21"/>
                <w:szCs w:val="21"/>
                <w:lang w:eastAsia="zh-CN"/>
              </w:rPr>
              <w:t>市委办（市档案局）</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089D0224">
            <w:pPr>
              <w:widowControl/>
              <w:adjustRightInd w:val="0"/>
              <w:snapToGrid w:val="0"/>
              <w:spacing w:line="214" w:lineRule="exact"/>
              <w:ind w:left="0" w:leftChars="0" w:firstLine="0" w:firstLineChars="0"/>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kern w:val="2"/>
                <w:sz w:val="21"/>
                <w:szCs w:val="21"/>
                <w:lang w:val="en-US" w:eastAsia="zh-CN" w:bidi="ar-SA"/>
              </w:rPr>
              <w:t>档案事业发展和管理科</w:t>
            </w:r>
          </w:p>
        </w:tc>
        <w:tc>
          <w:tcPr>
            <w:tcW w:w="2775"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7710BEF5">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1.【法律】《中华人民共和国档案法》第四十二条 档案主管部门依照法律、行政法规有关档案管理的规定，可以对档案馆和机关、团体、企业事业单位以及其他组织的下列情况进行检查：</w:t>
            </w:r>
          </w:p>
          <w:p w14:paraId="723DFD2F">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（一）档案工作责任制和管理制度落实情况；</w:t>
            </w:r>
          </w:p>
          <w:p w14:paraId="100EB6A9">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（二）档案库房、设施、设备配置使用情况；</w:t>
            </w:r>
          </w:p>
          <w:p w14:paraId="4DA324BE">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（三）档案工作人员管理情况；</w:t>
            </w:r>
          </w:p>
          <w:p w14:paraId="2B6D6081">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（四）档案收集、整理、保管、提供利用等情况；</w:t>
            </w:r>
          </w:p>
          <w:p w14:paraId="2BFEA9C3">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（五）档案信息化建设和信息安全保障情况；</w:t>
            </w:r>
          </w:p>
          <w:p w14:paraId="02C57733">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（六）对所属单位等的档案工作监督和指导情况。</w:t>
            </w:r>
          </w:p>
          <w:p w14:paraId="17885309">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第四十三条 档案主管部门根据违法线索进行检查时，在符合安全保密要求的前提下，可以检查有关库房、设施、设备，查阅有关材料，询问有关人员，记录有关情况，有关单位和个人应当配合。</w:t>
            </w:r>
          </w:p>
          <w:p w14:paraId="6F45DE09">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2.【部门规章】</w:t>
            </w:r>
            <w:r>
              <w:rPr>
                <w:rFonts w:hint="eastAsia" w:ascii="仿宋_GB2312" w:hAnsi="仿宋_GB2312" w:eastAsia="仿宋_GB2312" w:cs="仿宋_GB2312"/>
                <w:snapToGrid w:val="0"/>
                <w:color w:val="000000"/>
                <w:sz w:val="21"/>
                <w:szCs w:val="21"/>
                <w:lang w:eastAsia="zh-CN"/>
              </w:rPr>
              <w:t>国家档案局</w:t>
            </w:r>
            <w:r>
              <w:rPr>
                <w:rFonts w:hint="eastAsia" w:ascii="仿宋_GB2312" w:hAnsi="仿宋_GB2312" w:eastAsia="仿宋_GB2312" w:cs="仿宋_GB2312"/>
                <w:snapToGrid w:val="0"/>
                <w:color w:val="000000"/>
                <w:sz w:val="21"/>
                <w:szCs w:val="21"/>
                <w:lang w:val="en-US" w:eastAsia="zh-CN"/>
              </w:rPr>
              <w:t>4号令</w:t>
            </w:r>
            <w:r>
              <w:rPr>
                <w:rFonts w:hint="eastAsia" w:ascii="仿宋_GB2312" w:hAnsi="仿宋_GB2312" w:eastAsia="仿宋_GB2312" w:cs="仿宋_GB2312"/>
                <w:snapToGrid w:val="0"/>
                <w:color w:val="000000"/>
                <w:sz w:val="21"/>
                <w:szCs w:val="21"/>
              </w:rPr>
              <w:t>（</w:t>
            </w:r>
            <w:r>
              <w:rPr>
                <w:rFonts w:hint="eastAsia" w:ascii="仿宋_GB2312" w:hAnsi="仿宋_GB2312" w:eastAsia="仿宋_GB2312" w:cs="仿宋_GB2312"/>
                <w:snapToGrid w:val="0"/>
                <w:color w:val="000000"/>
                <w:sz w:val="21"/>
                <w:szCs w:val="21"/>
                <w:lang w:eastAsia="zh-CN"/>
              </w:rPr>
              <w:t>其中行政处罚办案程序已被国家档案局第20号令《档案行政处罚程序规定》取代，执法程序以《档案行政处罚程序规定》国家档案局20号令为准，优先引用现行有效规章条文。</w:t>
            </w:r>
            <w:r>
              <w:rPr>
                <w:rFonts w:hint="eastAsia" w:ascii="仿宋_GB2312" w:hAnsi="仿宋_GB2312" w:eastAsia="仿宋_GB2312" w:cs="仿宋_GB2312"/>
                <w:snapToGrid w:val="0"/>
                <w:color w:val="000000"/>
                <w:sz w:val="21"/>
                <w:szCs w:val="21"/>
              </w:rPr>
              <w:t>）第二条：本规定所称档案执法监督检查，是指各级档案主管部门对贯彻实施档案法规的监督检查以及依法对违反档案法规行为的查处。第四条：国家档案局和省、自治区、直辖市档案局应设档案执法监督检查机构，计划单列市、省（自治区）辖市、行署和县级档案主管部门应设档案执法监督检查机构或监督检查员，负责组织、协调各自管辖范围内的档案执法监督检查工作。第八条：县级以上档案主管部门对各自管辖范围内档案法规的贯彻实施情况进行监督检查。档案执法监督检查应与档案业务工作密切结合，检查的内容和重点应根据档案法规实施的情况具体确定。</w:t>
            </w:r>
          </w:p>
          <w:p w14:paraId="39939F8F">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3.【地方性法规】《广西壮族自治区档案管理条例》（2025年7月23日，广西壮族自治区十四届人大常委会第十九次会议表决通过了修订后的自治区档案管理条例，自2025年10月1日起施行。）第四条 县级以上档案主管部门主管本行政区域内的档案工作，对本行政区域内机关、团体、企业事业单位和其他组织的档案工作实行监督和指导。</w:t>
            </w: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2B314454">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1.告知责任（档案事业发展和管理科）：制定检查方案并下发通知，告知检查相关内容</w:t>
            </w:r>
            <w:r>
              <w:rPr>
                <w:rFonts w:hint="eastAsia" w:ascii="仿宋_GB2312" w:hAnsi="仿宋_GB2312" w:eastAsia="仿宋_GB2312" w:cs="仿宋_GB2312"/>
                <w:snapToGrid w:val="0"/>
                <w:color w:val="000000"/>
                <w:sz w:val="21"/>
                <w:szCs w:val="21"/>
                <w:lang w:eastAsia="zh-CN"/>
              </w:rPr>
              <w:t>、</w:t>
            </w:r>
            <w:r>
              <w:rPr>
                <w:rFonts w:hint="eastAsia" w:ascii="仿宋_GB2312" w:hAnsi="仿宋_GB2312" w:eastAsia="仿宋_GB2312" w:cs="仿宋_GB2312"/>
                <w:snapToGrid w:val="0"/>
                <w:color w:val="000000"/>
                <w:sz w:val="21"/>
                <w:szCs w:val="21"/>
              </w:rPr>
              <w:t>时间。</w:t>
            </w:r>
          </w:p>
          <w:p w14:paraId="67BD1ECB">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2.检查责任（档案事业发展和管理科）：档案行政管理部门依法对本行政区域内的档案法律法规执行情况进行监督和检查；依法组织查处档案违法行为。</w:t>
            </w:r>
          </w:p>
          <w:p w14:paraId="19F4E4DF">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档案行政管理部门的执法人员进行执法监督检查时，应当出示行政执法证件。</w:t>
            </w:r>
          </w:p>
          <w:p w14:paraId="2A02F979">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3.处理责任（档案事业发展和管理科）：档案执法监督检查机构和执法监督检查员发出《档案执法监督检查通知书》，对违反档案法规但尚未构成犯罪行为进行查处；</w:t>
            </w:r>
          </w:p>
          <w:p w14:paraId="13CCE168">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4.执行责任（档案事业发展和管理科）：督促当事人及时履行行政处罚决定。</w:t>
            </w:r>
          </w:p>
          <w:p w14:paraId="2AF85AC2">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5.监管责任（档案事业发展和管理科）：档案主管部门应该就当事人执行《档案执法监督检查通知书》情况进行监督。</w:t>
            </w:r>
          </w:p>
          <w:p w14:paraId="4CD4C663">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6.其他法律法规规章文件规定应履行的责任（档案事业发展和管理科）。</w:t>
            </w:r>
          </w:p>
        </w:tc>
        <w:tc>
          <w:tcPr>
            <w:tcW w:w="281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44096C">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1.【部门规章】《档案行政处罚程序规定》（2023年2月15日国家档案局令第20号公布）第四条  档案主管部门应当全面落实行政执法公示制度、执法全过程记录制度、重大执法决定法制审核制度。加强行政执法信息化建设，提高行政执法效率。</w:t>
            </w:r>
          </w:p>
          <w:p w14:paraId="658171D9">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2.【部门规章】</w:t>
            </w:r>
            <w:r>
              <w:rPr>
                <w:rFonts w:hint="eastAsia" w:ascii="仿宋_GB2312" w:hAnsi="仿宋_GB2312" w:eastAsia="仿宋_GB2312" w:cs="仿宋_GB2312"/>
                <w:snapToGrid w:val="0"/>
                <w:color w:val="000000"/>
                <w:sz w:val="21"/>
                <w:szCs w:val="21"/>
                <w:lang w:eastAsia="zh-CN"/>
              </w:rPr>
              <w:t>国家档案局</w:t>
            </w:r>
            <w:r>
              <w:rPr>
                <w:rFonts w:hint="eastAsia" w:ascii="仿宋_GB2312" w:hAnsi="仿宋_GB2312" w:eastAsia="仿宋_GB2312" w:cs="仿宋_GB2312"/>
                <w:snapToGrid w:val="0"/>
                <w:color w:val="000000"/>
                <w:sz w:val="21"/>
                <w:szCs w:val="21"/>
                <w:lang w:val="en-US" w:eastAsia="zh-CN"/>
              </w:rPr>
              <w:t>4号令</w:t>
            </w:r>
            <w:r>
              <w:rPr>
                <w:rFonts w:hint="eastAsia" w:ascii="仿宋_GB2312" w:hAnsi="仿宋_GB2312" w:eastAsia="仿宋_GB2312" w:cs="仿宋_GB2312"/>
                <w:snapToGrid w:val="0"/>
                <w:color w:val="000000"/>
                <w:sz w:val="21"/>
                <w:szCs w:val="21"/>
              </w:rPr>
              <w:t>（</w:t>
            </w:r>
            <w:r>
              <w:rPr>
                <w:rFonts w:hint="eastAsia" w:ascii="仿宋_GB2312" w:hAnsi="仿宋_GB2312" w:eastAsia="仿宋_GB2312" w:cs="仿宋_GB2312"/>
                <w:snapToGrid w:val="0"/>
                <w:color w:val="000000"/>
                <w:sz w:val="21"/>
                <w:szCs w:val="21"/>
                <w:lang w:eastAsia="zh-CN"/>
              </w:rPr>
              <w:t>其中行政处罚办案程序已被国家档案局第20号令《档案行政处罚程序规定》取代，执法程序以《档案行政处罚程序规定》国家档案局20号令为准，优先引用现行有效规章条文。</w:t>
            </w:r>
            <w:r>
              <w:rPr>
                <w:rFonts w:hint="eastAsia" w:ascii="仿宋_GB2312" w:hAnsi="仿宋_GB2312" w:eastAsia="仿宋_GB2312" w:cs="仿宋_GB2312"/>
                <w:snapToGrid w:val="0"/>
                <w:color w:val="000000"/>
                <w:sz w:val="21"/>
                <w:szCs w:val="21"/>
                <w:lang w:val="en-US" w:eastAsia="zh-CN"/>
              </w:rPr>
              <w:t>)</w:t>
            </w:r>
            <w:r>
              <w:rPr>
                <w:rFonts w:hint="eastAsia" w:ascii="仿宋_GB2312" w:hAnsi="仿宋_GB2312" w:eastAsia="仿宋_GB2312" w:cs="仿宋_GB2312"/>
                <w:snapToGrid w:val="0"/>
                <w:color w:val="000000"/>
                <w:sz w:val="21"/>
                <w:szCs w:val="21"/>
              </w:rPr>
              <w:t>第五条  档案执法监督检查机构的职责是：（一）宣传贯彻《档案法》、《档案法实施办法》和其</w:t>
            </w:r>
            <w:r>
              <w:rPr>
                <w:rFonts w:hint="eastAsia" w:ascii="仿宋_GB2312" w:hAnsi="仿宋_GB2312" w:eastAsia="仿宋_GB2312" w:cs="仿宋_GB2312"/>
                <w:snapToGrid w:val="0"/>
                <w:color w:val="000000"/>
                <w:sz w:val="21"/>
                <w:szCs w:val="21"/>
                <w:lang w:eastAsia="zh-CN"/>
              </w:rPr>
              <w:t>他</w:t>
            </w:r>
            <w:r>
              <w:rPr>
                <w:rFonts w:hint="eastAsia" w:ascii="仿宋_GB2312" w:hAnsi="仿宋_GB2312" w:eastAsia="仿宋_GB2312" w:cs="仿宋_GB2312"/>
                <w:snapToGrid w:val="0"/>
                <w:color w:val="000000"/>
                <w:sz w:val="21"/>
                <w:szCs w:val="21"/>
              </w:rPr>
              <w:t>档案法规、规章；（二）监督检查档案法规的实施情况；（三）调查处理管辖范围内的违反《档案法》案件；对轻微违法行为进行批评教育或发出《档案执法监督检查通知书》（见格式一）；对构成犯罪的，移交司法机关追究刑事责任；第十九条  执法人员在进行调查或者检查时，不得少于两人，并应当主动向当事人或者有关人员出示执法证件。执法人员应当文明执法，尊重和保护当事人合法权益。当事人或者有关人员应当协助调查或者检查，不得拒绝或者阻挠。</w:t>
            </w:r>
          </w:p>
          <w:p w14:paraId="5C6B713B">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3-1.【部门规章】</w:t>
            </w:r>
            <w:r>
              <w:rPr>
                <w:rFonts w:hint="eastAsia" w:ascii="仿宋_GB2312" w:hAnsi="仿宋_GB2312" w:eastAsia="仿宋_GB2312" w:cs="仿宋_GB2312"/>
                <w:snapToGrid w:val="0"/>
                <w:color w:val="000000"/>
                <w:sz w:val="21"/>
                <w:szCs w:val="21"/>
                <w:lang w:eastAsia="zh-CN"/>
              </w:rPr>
              <w:t>国家档案局</w:t>
            </w:r>
            <w:r>
              <w:rPr>
                <w:rFonts w:hint="eastAsia" w:ascii="仿宋_GB2312" w:hAnsi="仿宋_GB2312" w:eastAsia="仿宋_GB2312" w:cs="仿宋_GB2312"/>
                <w:snapToGrid w:val="0"/>
                <w:color w:val="000000"/>
                <w:sz w:val="21"/>
                <w:szCs w:val="21"/>
                <w:lang w:val="en-US" w:eastAsia="zh-CN"/>
              </w:rPr>
              <w:t>4号令</w:t>
            </w:r>
            <w:r>
              <w:rPr>
                <w:rFonts w:hint="eastAsia" w:ascii="仿宋_GB2312" w:hAnsi="仿宋_GB2312" w:eastAsia="仿宋_GB2312" w:cs="仿宋_GB2312"/>
                <w:snapToGrid w:val="0"/>
                <w:color w:val="000000"/>
                <w:sz w:val="21"/>
                <w:szCs w:val="21"/>
              </w:rPr>
              <w:t>（</w:t>
            </w:r>
            <w:r>
              <w:rPr>
                <w:rFonts w:hint="eastAsia" w:ascii="仿宋_GB2312" w:hAnsi="仿宋_GB2312" w:eastAsia="仿宋_GB2312" w:cs="仿宋_GB2312"/>
                <w:snapToGrid w:val="0"/>
                <w:color w:val="000000"/>
                <w:sz w:val="21"/>
                <w:szCs w:val="21"/>
                <w:lang w:eastAsia="zh-CN"/>
              </w:rPr>
              <w:t>其中行政处罚办案程序已被国家档案局第20号令《档案行政处罚程序规定》取代，执法程序以《档案行政处罚程序规定》国家档案局20号令为准，优先引用现行有效规章条文。</w:t>
            </w:r>
            <w:r>
              <w:rPr>
                <w:rFonts w:hint="eastAsia" w:ascii="仿宋_GB2312" w:hAnsi="仿宋_GB2312" w:eastAsia="仿宋_GB2312" w:cs="仿宋_GB2312"/>
                <w:snapToGrid w:val="0"/>
                <w:color w:val="000000"/>
                <w:sz w:val="21"/>
                <w:szCs w:val="21"/>
              </w:rPr>
              <w:t>）</w:t>
            </w:r>
            <w:r>
              <w:rPr>
                <w:rFonts w:hint="eastAsia" w:ascii="仿宋_GB2312" w:hAnsi="仿宋_GB2312" w:eastAsia="仿宋_GB2312" w:cs="仿宋_GB2312"/>
                <w:snapToGrid w:val="0"/>
                <w:color w:val="000000"/>
                <w:sz w:val="21"/>
                <w:szCs w:val="21"/>
                <w:lang w:val="en-US" w:eastAsia="zh-CN"/>
              </w:rPr>
              <w:t xml:space="preserve"> </w:t>
            </w:r>
            <w:r>
              <w:rPr>
                <w:rFonts w:hint="eastAsia" w:ascii="仿宋_GB2312" w:hAnsi="仿宋_GB2312" w:eastAsia="仿宋_GB2312" w:cs="仿宋_GB2312"/>
                <w:snapToGrid w:val="0"/>
                <w:color w:val="000000"/>
                <w:sz w:val="21"/>
                <w:szCs w:val="21"/>
              </w:rPr>
              <w:t>第十条　对下列行为，档案执法监督检查机构和执法监督检查员可以发出《档案执法监督检查通知书》：</w:t>
            </w:r>
          </w:p>
          <w:p w14:paraId="6646D516">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一）未建立档案工作或档案管理制度的；（二）档案保管条件差，危及档案安全的；（三）档案管理制度不健全或执行制度不严，可能造成档案损毁的；（四）发现档案破损、变质、下落不明或泄密等情况，未及时采取有效措施的；（五）拒不向本单位档案部门移交应当立卷归档的文件材料的；（六）不按规定向档案馆移交档案的；（七）科研成果、产品试制、基建工程或其他技术项目鉴定验收时，未按规定验收档案，致使档案残缺不全的；（八）借阅档案未按规定及时归还，且屡催不还的；（九）在保管或利用档案中涂改、撕毁、丢失档案的；（十）其</w:t>
            </w:r>
            <w:r>
              <w:rPr>
                <w:rFonts w:hint="eastAsia" w:ascii="仿宋_GB2312" w:hAnsi="仿宋_GB2312" w:eastAsia="仿宋_GB2312" w:cs="仿宋_GB2312"/>
                <w:snapToGrid w:val="0"/>
                <w:color w:val="000000"/>
                <w:sz w:val="21"/>
                <w:szCs w:val="21"/>
                <w:lang w:eastAsia="zh-CN"/>
              </w:rPr>
              <w:t>他</w:t>
            </w:r>
            <w:r>
              <w:rPr>
                <w:rFonts w:hint="eastAsia" w:ascii="仿宋_GB2312" w:hAnsi="仿宋_GB2312" w:eastAsia="仿宋_GB2312" w:cs="仿宋_GB2312"/>
                <w:snapToGrid w:val="0"/>
                <w:color w:val="000000"/>
                <w:sz w:val="21"/>
                <w:szCs w:val="21"/>
              </w:rPr>
              <w:t>可能导致档案损毁的行为。</w:t>
            </w:r>
          </w:p>
          <w:p w14:paraId="5F10FB5A">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《档案执法监督检查通知书》应写明被监督检查单位或个人所违反的具体档案法规条款和违法事实以及改进要求。</w:t>
            </w:r>
          </w:p>
          <w:p w14:paraId="521C14F4">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4.【部门规章】</w:t>
            </w:r>
            <w:r>
              <w:rPr>
                <w:rFonts w:hint="eastAsia" w:ascii="仿宋_GB2312" w:hAnsi="仿宋_GB2312" w:eastAsia="仿宋_GB2312" w:cs="仿宋_GB2312"/>
                <w:snapToGrid w:val="0"/>
                <w:color w:val="000000"/>
                <w:sz w:val="21"/>
                <w:szCs w:val="21"/>
                <w:lang w:eastAsia="zh-CN"/>
              </w:rPr>
              <w:t>国家档案局</w:t>
            </w:r>
            <w:r>
              <w:rPr>
                <w:rFonts w:hint="eastAsia" w:ascii="仿宋_GB2312" w:hAnsi="仿宋_GB2312" w:eastAsia="仿宋_GB2312" w:cs="仿宋_GB2312"/>
                <w:snapToGrid w:val="0"/>
                <w:color w:val="000000"/>
                <w:sz w:val="21"/>
                <w:szCs w:val="21"/>
                <w:lang w:val="en-US" w:eastAsia="zh-CN"/>
              </w:rPr>
              <w:t>4号令</w:t>
            </w:r>
            <w:r>
              <w:rPr>
                <w:rFonts w:hint="eastAsia" w:ascii="仿宋_GB2312" w:hAnsi="仿宋_GB2312" w:eastAsia="仿宋_GB2312" w:cs="仿宋_GB2312"/>
                <w:snapToGrid w:val="0"/>
                <w:color w:val="000000"/>
                <w:sz w:val="21"/>
                <w:szCs w:val="21"/>
              </w:rPr>
              <w:t>（</w:t>
            </w:r>
            <w:r>
              <w:rPr>
                <w:rFonts w:hint="eastAsia" w:ascii="仿宋_GB2312" w:hAnsi="仿宋_GB2312" w:eastAsia="仿宋_GB2312" w:cs="仿宋_GB2312"/>
                <w:snapToGrid w:val="0"/>
                <w:color w:val="000000"/>
                <w:sz w:val="21"/>
                <w:szCs w:val="21"/>
                <w:lang w:eastAsia="zh-CN"/>
              </w:rPr>
              <w:t>其中行政处罚办案程序已被国家档案局第20号令《档案行政处罚程序规定》取代，执法程序以《档案行政处罚程序规定》国家档案局20号令为准，优先引用现行有效规章条文。</w:t>
            </w:r>
            <w:r>
              <w:rPr>
                <w:rFonts w:hint="eastAsia" w:ascii="仿宋_GB2312" w:hAnsi="仿宋_GB2312" w:eastAsia="仿宋_GB2312" w:cs="仿宋_GB2312"/>
                <w:snapToGrid w:val="0"/>
                <w:color w:val="000000"/>
                <w:sz w:val="21"/>
                <w:szCs w:val="21"/>
              </w:rPr>
              <w:t>）第十九条  依照本规定，对违反《档案法》案件调查清楚后，确认违法事实清楚，证据确凿，情节较重但尚未构成犯罪的，由查处机关依法提出处理意见，签发《违法行为处理通知书》，直接通知违法单位法定代表人或违法行为人所在单位协助执行。确认违反档案法规行为构成犯罪的，由查处机关按法定程序移交发生违法行为地的司法机关追究其刑事责任。</w:t>
            </w:r>
          </w:p>
          <w:p w14:paraId="2267981F">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snapToGrid w:val="0"/>
                <w:color w:val="000000"/>
                <w:sz w:val="21"/>
                <w:szCs w:val="21"/>
              </w:rPr>
            </w:pPr>
          </w:p>
        </w:tc>
        <w:tc>
          <w:tcPr>
            <w:tcW w:w="204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F7C2D9">
            <w:pPr>
              <w:keepNext w:val="0"/>
              <w:keepLines w:val="0"/>
              <w:pageBreakBefore w:val="0"/>
              <w:widowControl/>
              <w:suppressLineNumbers w:val="0"/>
              <w:kinsoku/>
              <w:wordWrap/>
              <w:overflowPunct/>
              <w:topLinePunct w:val="0"/>
              <w:autoSpaceDE/>
              <w:autoSpaceDN/>
              <w:bidi w:val="0"/>
              <w:adjustRightInd/>
              <w:snapToGrid/>
              <w:spacing w:line="230" w:lineRule="exact"/>
              <w:ind w:firstLine="420" w:firstLineChars="200"/>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因不履行或不正确履行行政职责，有下列情形的，行政机关及相关工作人员应承担相应责任：</w:t>
            </w:r>
          </w:p>
          <w:p w14:paraId="025AF6A1">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1.没有法律法规依据（驻市委办纪检组）；</w:t>
            </w:r>
          </w:p>
          <w:p w14:paraId="0273B6A0">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2.违反法定程序的（驻市委办纪检组）；</w:t>
            </w:r>
          </w:p>
          <w:p w14:paraId="3957AA00">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3.不履行或不正确履行职责，对档案管理违法行为不予制止和有效处理的（驻市委办纪检组）；</w:t>
            </w:r>
          </w:p>
          <w:p w14:paraId="1F06D306">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4.在监督检查中滥用职权，谋取不正当利益和发生腐败行为的（驻市委办纪检组）；</w:t>
            </w:r>
          </w:p>
          <w:p w14:paraId="314DE77F">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5.除以上追责情形外，其他违反法律法规规章的行为依法追究相应责任（驻市委办纪检组）。</w:t>
            </w:r>
          </w:p>
        </w:tc>
        <w:tc>
          <w:tcPr>
            <w:tcW w:w="405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3C2696">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-1.【法律】《中华人民共和国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p>
          <w:p w14:paraId="44B29847">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-2.【法律】《中华人民共和国行政处罚法》第七十六条：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行政机关对符合立案标准的案件不及时立案的，依照前款规定予以处理。</w:t>
            </w:r>
          </w:p>
          <w:p w14:paraId="11EFFE13">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2.同1-1，1-2。</w:t>
            </w:r>
          </w:p>
          <w:p w14:paraId="27A7CB65">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3.【部门规章】《档案管理违法违纪行为处分规定》（2013年国家监察部令第30号发布）第十九条　有档案管理违法违纪行为，应当给予党纪处分的，移送党的纪律检查机关处理。涉嫌犯罪的，移送司法机关依法追究刑事责任。</w:t>
            </w:r>
          </w:p>
          <w:p w14:paraId="7E44B9A8">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4.【法律】《中华人民共和国公职人员政务处分法》（2020年6月20日第十三届全国人民代表大会常务委员会第十九次会议通过）第三十八条　有下列行为之一，情节较重的，予以警告、记过或者记大过；情节严重的，予以降级或者撤职：</w:t>
            </w:r>
          </w:p>
          <w:p w14:paraId="54D0A4DA">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（一）违反规定向管理服务对象收取、摊派财物的；</w:t>
            </w:r>
          </w:p>
          <w:p w14:paraId="5BE1E5F3">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（二）在管理服务活动中故意刁难、吃拿卡要的；</w:t>
            </w:r>
          </w:p>
          <w:p w14:paraId="68E8B56C">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（三）在管理服务活动中态度恶劣粗暴，造成不良后果或者影响的；</w:t>
            </w:r>
          </w:p>
          <w:p w14:paraId="7E118047">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（四）不按照规定公开工作信息，侵犯管理服务对象知情权，造成不良后果或者影响的；</w:t>
            </w:r>
          </w:p>
          <w:p w14:paraId="2F69848D">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（五）其他侵犯管理服务对象利益的行为，造成不良后果或者影响的。</w:t>
            </w:r>
          </w:p>
          <w:p w14:paraId="7D4B2AD6">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有前款第一项、第二项和第五项行为，情节特别严重的，予以开除。</w:t>
            </w:r>
          </w:p>
        </w:tc>
        <w:tc>
          <w:tcPr>
            <w:tcW w:w="1404"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9EB3EC">
            <w:pPr>
              <w:keepNext w:val="0"/>
              <w:keepLines w:val="0"/>
              <w:pageBreakBefore w:val="0"/>
              <w:widowControl/>
              <w:suppressLineNumbers w:val="0"/>
              <w:kinsoku/>
              <w:wordWrap/>
              <w:overflowPunct/>
              <w:topLinePunct w:val="0"/>
              <w:autoSpaceDE/>
              <w:autoSpaceDN/>
              <w:bidi w:val="0"/>
              <w:adjustRightInd/>
              <w:snapToGrid/>
              <w:spacing w:line="230" w:lineRule="exact"/>
              <w:ind w:firstLine="420" w:firstLineChars="20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法律法规规定的免责情形及自治区党委、自治区人民政府、市委、市政府有关文件中明确的免责情形。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EF3E92">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14:paraId="10540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FC37A0">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765" w:type="dxa"/>
            <w:tcBorders>
              <w:top w:val="single" w:color="auto" w:sz="4" w:space="0"/>
              <w:left w:val="single" w:color="000000" w:sz="4" w:space="0"/>
              <w:bottom w:val="single" w:color="auto" w:sz="4" w:space="0"/>
              <w:right w:val="single" w:color="000000" w:sz="4" w:space="0"/>
            </w:tcBorders>
            <w:shd w:val="clear" w:color="auto" w:fill="auto"/>
            <w:noWrap w:val="0"/>
            <w:tcMar>
              <w:top w:w="57" w:type="dxa"/>
              <w:left w:w="57" w:type="dxa"/>
              <w:bottom w:w="57" w:type="dxa"/>
              <w:right w:w="57" w:type="dxa"/>
            </w:tcMar>
            <w:vAlign w:val="center"/>
          </w:tcPr>
          <w:p w14:paraId="46E96447">
            <w:pPr>
              <w:widowControl/>
              <w:adjustRightInd w:val="0"/>
              <w:snapToGrid w:val="0"/>
              <w:spacing w:line="240" w:lineRule="exact"/>
              <w:jc w:val="center"/>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sz w:val="21"/>
                <w:szCs w:val="21"/>
              </w:rPr>
              <w:t>其他行政权力</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1C4E321F">
            <w:pPr>
              <w:widowControl/>
              <w:adjustRightInd w:val="0"/>
              <w:snapToGrid w:val="0"/>
              <w:spacing w:line="240" w:lineRule="exact"/>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sz w:val="21"/>
                <w:szCs w:val="21"/>
              </w:rPr>
              <w:t>档案提前或延期移交进馆检查和同意</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3B271258">
            <w:pPr>
              <w:widowControl/>
              <w:adjustRightInd w:val="0"/>
              <w:snapToGrid w:val="0"/>
              <w:spacing w:line="214" w:lineRule="exact"/>
              <w:rPr>
                <w:rFonts w:hint="eastAsia" w:ascii="仿宋_GB2312" w:hAnsi="仿宋_GB2312" w:eastAsia="仿宋_GB2312" w:cs="仿宋_GB2312"/>
                <w:snapToGrid w:val="0"/>
                <w:color w:val="000000"/>
                <w:sz w:val="21"/>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6E9F88BB">
            <w:pPr>
              <w:widowControl/>
              <w:adjustRightInd w:val="0"/>
              <w:snapToGrid w:val="0"/>
              <w:spacing w:line="214" w:lineRule="exact"/>
              <w:jc w:val="center"/>
              <w:rPr>
                <w:rFonts w:hint="eastAsia" w:ascii="仿宋_GB2312" w:hAnsi="仿宋_GB2312" w:eastAsia="仿宋_GB2312" w:cs="仿宋_GB2312"/>
                <w:snapToGrid w:val="0"/>
                <w:color w:val="000000"/>
                <w:sz w:val="21"/>
                <w:szCs w:val="21"/>
                <w:lang w:eastAsia="zh-CN"/>
              </w:rPr>
            </w:pPr>
            <w:r>
              <w:rPr>
                <w:rFonts w:hint="eastAsia" w:ascii="仿宋_GB2312" w:hAnsi="仿宋_GB2312" w:eastAsia="仿宋_GB2312" w:cs="仿宋_GB2312"/>
                <w:snapToGrid w:val="0"/>
                <w:color w:val="000000"/>
                <w:sz w:val="21"/>
                <w:szCs w:val="21"/>
                <w:lang w:eastAsia="zh-CN"/>
              </w:rPr>
              <w:t>市委办（市档案局）</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1E6B2FE2">
            <w:pPr>
              <w:keepNext w:val="0"/>
              <w:keepLines w:val="0"/>
              <w:pageBreakBefore w:val="0"/>
              <w:widowControl/>
              <w:kinsoku/>
              <w:wordWrap/>
              <w:overflowPunct/>
              <w:topLinePunct w:val="0"/>
              <w:autoSpaceDE/>
              <w:autoSpaceDN/>
              <w:bidi w:val="0"/>
              <w:adjustRightInd w:val="0"/>
              <w:snapToGrid w:val="0"/>
              <w:spacing w:line="214" w:lineRule="exact"/>
              <w:ind w:left="0" w:leftChars="0" w:firstLine="0" w:firstLineChars="0"/>
              <w:jc w:val="both"/>
              <w:textAlignment w:val="auto"/>
              <w:rPr>
                <w:rFonts w:hint="eastAsia" w:ascii="仿宋_GB2312" w:hAnsi="仿宋_GB2312" w:eastAsia="仿宋_GB2312" w:cs="仿宋_GB2312"/>
                <w:snapToGrid w:val="0"/>
                <w:color w:val="000000"/>
                <w:kern w:val="2"/>
                <w:sz w:val="21"/>
                <w:szCs w:val="21"/>
                <w:lang w:val="en-US" w:eastAsia="zh-CN" w:bidi="ar-SA"/>
              </w:rPr>
            </w:pPr>
            <w:r>
              <w:rPr>
                <w:rFonts w:hint="eastAsia" w:ascii="仿宋_GB2312" w:hAnsi="仿宋_GB2312" w:eastAsia="仿宋_GB2312" w:cs="仿宋_GB2312"/>
                <w:snapToGrid w:val="0"/>
                <w:color w:val="000000"/>
                <w:kern w:val="2"/>
                <w:sz w:val="21"/>
                <w:szCs w:val="21"/>
                <w:lang w:val="en-US" w:eastAsia="zh-CN" w:bidi="ar-SA"/>
              </w:rPr>
              <w:t>档案事业发展和管理科</w:t>
            </w:r>
          </w:p>
        </w:tc>
        <w:tc>
          <w:tcPr>
            <w:tcW w:w="2775"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0E072AF2">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【法律】《中华人民共和国档案法》第十五条第一款 机关、团体、企业事业单位和其他组织应当按照国家有关规定，定期向档案馆移交档案，档案馆不得拒绝接收。</w:t>
            </w:r>
          </w:p>
          <w:p w14:paraId="30C18548">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第二款 经档案馆同意，提前将档案交档案馆保管的，在国家规定的移交期限届满前，该档案所涉及政府信息公开事项仍由原制作或者保存政府信息的单位办理。移交期限届满的，涉及政府信息公开事项的档案按照档案利用规定办理。</w:t>
            </w:r>
          </w:p>
          <w:p w14:paraId="760C6756">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行政法规】《中华人民共和国档案法实施条例》（2023年12月29日国务院第22次常务会议通过，2024年3月1日起施行，国务院令第772号）第二十条第三款：经同级档案主管部门检查和同意，专业性较强或者需要保密的档案，可以延长向有关的国家档案馆移交的期限。已撤销单位的档案可以提前向有关的国家档案馆移交。</w:t>
            </w: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0"/>
            <w:tcMar>
              <w:top w:w="57" w:type="dxa"/>
              <w:left w:w="57" w:type="dxa"/>
              <w:bottom w:w="57" w:type="dxa"/>
              <w:right w:w="57" w:type="dxa"/>
            </w:tcMar>
            <w:vAlign w:val="center"/>
          </w:tcPr>
          <w:p w14:paraId="30989CF3">
            <w:pPr>
              <w:widowControl/>
              <w:adjustRightInd w:val="0"/>
              <w:snapToGrid w:val="0"/>
              <w:spacing w:line="24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1.受理责任（档案事业发展和管理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）：按照申请事项的条件、标准</w:t>
            </w:r>
            <w:r>
              <w:rPr>
                <w:rFonts w:hint="eastAsia" w:ascii="仿宋_GB2312" w:hAnsi="仿宋_GB2312" w:eastAsia="仿宋_GB2312" w:cs="仿宋_GB2312"/>
                <w:snapToGrid w:val="0"/>
                <w:color w:val="000000"/>
                <w:sz w:val="21"/>
                <w:szCs w:val="21"/>
                <w:lang w:eastAsia="zh-CN"/>
              </w:rPr>
              <w:t>，</w:t>
            </w:r>
            <w:r>
              <w:rPr>
                <w:rFonts w:hint="eastAsia" w:ascii="仿宋_GB2312" w:hAnsi="仿宋_GB2312" w:eastAsia="仿宋_GB2312" w:cs="仿宋_GB2312"/>
                <w:snapToGrid w:val="0"/>
                <w:color w:val="000000"/>
                <w:sz w:val="21"/>
                <w:szCs w:val="21"/>
              </w:rPr>
              <w:t>审核申请材料是否齐全、符合法定形式，申请事项是否属于本行政机关的职权范围、申请是否在法律、法规规定内提出，决定是否受理。</w:t>
            </w:r>
          </w:p>
          <w:p w14:paraId="03E1B687">
            <w:pPr>
              <w:widowControl/>
              <w:adjustRightInd w:val="0"/>
              <w:snapToGrid w:val="0"/>
              <w:spacing w:line="24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2.审查责任（档案事业发展和管理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）：按照申请的条件和标准，对符合条件的，提出同意的审查意见；对于不符合条件的，提出不同意的意见和理由。</w:t>
            </w:r>
          </w:p>
          <w:p w14:paraId="3E4E07B1">
            <w:pPr>
              <w:widowControl/>
              <w:adjustRightInd w:val="0"/>
              <w:snapToGrid w:val="0"/>
              <w:spacing w:line="24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3.决定责任（档案事业发展和管理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）：对于符合条件的，正式拟文作出同意或不同意决定（不同意的应书面告知理由）。</w:t>
            </w:r>
          </w:p>
          <w:p w14:paraId="1C35FC73">
            <w:pPr>
              <w:widowControl/>
              <w:adjustRightInd w:val="0"/>
              <w:snapToGrid w:val="0"/>
              <w:spacing w:line="240" w:lineRule="exact"/>
              <w:ind w:firstLine="420" w:firstLineChars="200"/>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4.其他法律法规规章文件规定应履行的责任（档案事业发展和管理</w:t>
            </w:r>
            <w:r>
              <w:rPr>
                <w:rFonts w:hint="eastAsia" w:ascii="仿宋_GB2312" w:hAnsi="仿宋_GB2312" w:eastAsia="仿宋_GB2312" w:cs="仿宋_GB2312"/>
                <w:snapToGrid w:val="0"/>
                <w:color w:val="000000"/>
                <w:sz w:val="21"/>
                <w:szCs w:val="21"/>
                <w:lang w:eastAsia="zh-CN"/>
              </w:rPr>
              <w:t>科</w:t>
            </w:r>
            <w:r>
              <w:rPr>
                <w:rFonts w:hint="eastAsia" w:ascii="仿宋_GB2312" w:hAnsi="仿宋_GB2312" w:eastAsia="仿宋_GB2312" w:cs="仿宋_GB2312"/>
                <w:snapToGrid w:val="0"/>
                <w:color w:val="000000"/>
                <w:sz w:val="21"/>
                <w:szCs w:val="21"/>
              </w:rPr>
              <w:t>）。</w:t>
            </w:r>
          </w:p>
          <w:p w14:paraId="6EBBA350">
            <w:pPr>
              <w:widowControl/>
              <w:adjustRightInd w:val="0"/>
              <w:snapToGrid w:val="0"/>
              <w:spacing w:line="230" w:lineRule="exact"/>
              <w:ind w:firstLine="420" w:firstLineChars="200"/>
              <w:rPr>
                <w:rFonts w:hint="eastAsia" w:ascii="仿宋_GB2312" w:hAnsi="仿宋_GB2312" w:eastAsia="仿宋_GB2312" w:cs="仿宋_GB2312"/>
                <w:snapToGrid w:val="0"/>
                <w:color w:val="000000"/>
                <w:sz w:val="21"/>
                <w:szCs w:val="21"/>
              </w:rPr>
            </w:pPr>
          </w:p>
        </w:tc>
        <w:tc>
          <w:tcPr>
            <w:tcW w:w="281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B6F890">
            <w:pPr>
              <w:widowControl/>
              <w:numPr>
                <w:numId w:val="0"/>
              </w:numPr>
              <w:adjustRightInd w:val="0"/>
              <w:snapToGrid w:val="0"/>
              <w:spacing w:line="240" w:lineRule="exact"/>
              <w:rPr>
                <w:rFonts w:hint="eastAsia" w:ascii="仿宋_GB2312" w:hAnsi="仿宋_GB2312" w:eastAsia="仿宋_GB2312" w:cs="仿宋_GB2312"/>
                <w:snapToGrid w:val="0"/>
                <w:color w:val="000000"/>
                <w:sz w:val="21"/>
                <w:szCs w:val="21"/>
                <w:lang w:eastAsia="zh-CN"/>
              </w:rPr>
            </w:pPr>
            <w:r>
              <w:rPr>
                <w:rFonts w:hint="eastAsia" w:ascii="仿宋_GB2312" w:hAnsi="仿宋_GB2312" w:eastAsia="仿宋_GB2312" w:cs="仿宋_GB2312"/>
                <w:snapToGrid w:val="0"/>
                <w:color w:val="000000"/>
                <w:sz w:val="21"/>
                <w:szCs w:val="21"/>
                <w:lang w:val="en-US" w:eastAsia="zh-CN"/>
              </w:rPr>
              <w:t>1.</w:t>
            </w:r>
            <w:r>
              <w:rPr>
                <w:rFonts w:hint="eastAsia" w:ascii="仿宋_GB2312" w:hAnsi="仿宋_GB2312" w:eastAsia="仿宋_GB2312" w:cs="仿宋_GB2312"/>
                <w:snapToGrid w:val="0"/>
                <w:color w:val="000000"/>
                <w:sz w:val="21"/>
                <w:szCs w:val="21"/>
              </w:rPr>
              <w:t>【法律】</w:t>
            </w:r>
            <w:r>
              <w:rPr>
                <w:rFonts w:hint="eastAsia" w:ascii="仿宋_GB2312" w:hAnsi="仿宋_GB2312" w:eastAsia="仿宋_GB2312" w:cs="仿宋_GB2312"/>
                <w:snapToGrid w:val="0"/>
                <w:color w:val="000000"/>
                <w:sz w:val="21"/>
                <w:szCs w:val="21"/>
                <w:lang w:eastAsia="zh-CN"/>
              </w:rPr>
              <w:t>《中华人民共和国档案法》第八条</w:t>
            </w:r>
            <w:r>
              <w:rPr>
                <w:rFonts w:hint="eastAsia" w:ascii="仿宋_GB2312" w:hAnsi="仿宋_GB2312" w:eastAsia="仿宋_GB2312" w:cs="仿宋_GB2312"/>
                <w:snapToGrid w:val="0"/>
                <w:color w:val="000000"/>
                <w:sz w:val="21"/>
                <w:szCs w:val="21"/>
                <w:lang w:val="en-US" w:eastAsia="zh-CN"/>
              </w:rPr>
              <w:t xml:space="preserve">  </w:t>
            </w:r>
            <w:r>
              <w:rPr>
                <w:rFonts w:hint="default" w:ascii="汉仪中秀体简" w:hAnsi="汉仪中秀体简" w:eastAsia="仿宋_GB2312" w:cs="汉仪中秀体简"/>
                <w:snapToGrid w:val="0"/>
                <w:color w:val="000000"/>
                <w:sz w:val="21"/>
                <w:szCs w:val="21"/>
                <w:lang w:eastAsia="zh-CN"/>
              </w:rPr>
              <w:t>……</w:t>
            </w:r>
            <w:r>
              <w:rPr>
                <w:rFonts w:hint="eastAsia" w:ascii="仿宋_GB2312" w:hAnsi="仿宋_GB2312" w:eastAsia="仿宋_GB2312" w:cs="仿宋_GB2312"/>
                <w:snapToGrid w:val="0"/>
                <w:color w:val="000000"/>
                <w:sz w:val="21"/>
                <w:szCs w:val="21"/>
                <w:lang w:val="en-US" w:eastAsia="zh-CN"/>
              </w:rPr>
              <w:t xml:space="preserve"> </w:t>
            </w:r>
            <w:r>
              <w:rPr>
                <w:rFonts w:hint="eastAsia" w:ascii="仿宋_GB2312" w:hAnsi="仿宋_GB2312" w:eastAsia="仿宋_GB2312" w:cs="仿宋_GB2312"/>
                <w:snapToGrid w:val="0"/>
                <w:color w:val="000000"/>
                <w:sz w:val="21"/>
                <w:szCs w:val="21"/>
                <w:lang w:eastAsia="zh-CN"/>
              </w:rPr>
              <w:t>县级以上地方档案主管部门主管本行政区域内的档案工作，对本行政区域内机关、团体、企业事业单位和其他组织的档案工作实行监督和指导。</w:t>
            </w:r>
            <w:r>
              <w:rPr>
                <w:rFonts w:hint="default" w:ascii="汉仪中秀体简" w:hAnsi="汉仪中秀体简" w:eastAsia="仿宋_GB2312" w:cs="汉仪中秀体简"/>
                <w:snapToGrid w:val="0"/>
                <w:color w:val="000000"/>
                <w:sz w:val="21"/>
                <w:szCs w:val="21"/>
                <w:lang w:eastAsia="zh-CN"/>
              </w:rPr>
              <w:t>……</w:t>
            </w:r>
            <w:r>
              <w:rPr>
                <w:rFonts w:hint="eastAsia" w:ascii="仿宋_GB2312" w:hAnsi="仿宋_GB2312" w:eastAsia="仿宋_GB2312" w:cs="仿宋_GB2312"/>
                <w:snapToGrid w:val="0"/>
                <w:color w:val="000000"/>
                <w:sz w:val="21"/>
                <w:szCs w:val="21"/>
                <w:lang w:val="en-US" w:eastAsia="zh-CN"/>
              </w:rPr>
              <w:t xml:space="preserve"> </w:t>
            </w:r>
          </w:p>
          <w:p w14:paraId="2BD53475">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snapToGrid w:val="0"/>
                <w:color w:val="000000"/>
                <w:sz w:val="21"/>
                <w:szCs w:val="21"/>
              </w:rPr>
            </w:pPr>
            <w:r>
              <w:rPr>
                <w:rFonts w:hint="eastAsia" w:ascii="仿宋_GB2312" w:hAnsi="仿宋_GB2312" w:eastAsia="仿宋_GB2312" w:cs="仿宋_GB2312"/>
                <w:snapToGrid w:val="0"/>
                <w:color w:val="000000"/>
                <w:sz w:val="21"/>
                <w:szCs w:val="21"/>
              </w:rPr>
              <w:t>2.【法律】</w:t>
            </w:r>
            <w:r>
              <w:rPr>
                <w:rFonts w:hint="eastAsia" w:ascii="仿宋_GB2312" w:hAnsi="仿宋_GB2312" w:eastAsia="仿宋_GB2312" w:cs="仿宋_GB2312"/>
                <w:snapToGrid w:val="0"/>
                <w:color w:val="000000"/>
                <w:sz w:val="21"/>
                <w:szCs w:val="21"/>
                <w:lang w:eastAsia="zh-CN"/>
              </w:rPr>
              <w:t>《中华人民共和国档案法》</w:t>
            </w:r>
            <w:r>
              <w:rPr>
                <w:rFonts w:hint="eastAsia" w:ascii="仿宋_GB2312" w:hAnsi="仿宋_GB2312" w:eastAsia="仿宋_GB2312" w:cs="仿宋_GB2312"/>
                <w:snapToGrid w:val="0"/>
                <w:color w:val="000000"/>
                <w:sz w:val="21"/>
                <w:szCs w:val="21"/>
              </w:rPr>
              <w:t>第四十八条　单位或者个人有下列行为之一，由县级以上档案主管部门、有关机关对直接负责的主管人员和其他直接责任人员依法给予处分：</w:t>
            </w:r>
          </w:p>
          <w:p w14:paraId="3FFD110A">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snapToGrid w:val="0"/>
                <w:color w:val="000000"/>
                <w:sz w:val="21"/>
                <w:szCs w:val="21"/>
              </w:rPr>
            </w:pPr>
            <w:r>
              <w:rPr>
                <w:rFonts w:hint="default" w:ascii="汉仪中秀体简" w:hAnsi="汉仪中秀体简" w:eastAsia="仿宋_GB2312" w:cs="汉仪中秀体简"/>
                <w:snapToGrid w:val="0"/>
                <w:color w:val="000000"/>
                <w:sz w:val="21"/>
                <w:szCs w:val="21"/>
                <w:lang w:eastAsia="zh-CN"/>
              </w:rPr>
              <w:t>……</w:t>
            </w:r>
            <w:r>
              <w:rPr>
                <w:rFonts w:hint="eastAsia" w:ascii="仿宋_GB2312" w:hAnsi="仿宋_GB2312" w:eastAsia="仿宋_GB2312" w:cs="仿宋_GB2312"/>
                <w:snapToGrid w:val="0"/>
                <w:color w:val="000000"/>
                <w:sz w:val="21"/>
                <w:szCs w:val="21"/>
              </w:rPr>
              <w:t>（六）不按规定归档或者不按期移交档案，被责令改正而拒不改正的；</w:t>
            </w:r>
            <w:r>
              <w:rPr>
                <w:rFonts w:hint="default" w:ascii="汉仪中秀体简" w:hAnsi="汉仪中秀体简" w:eastAsia="仿宋_GB2312" w:cs="汉仪中秀体简"/>
                <w:snapToGrid w:val="0"/>
                <w:color w:val="000000"/>
                <w:sz w:val="21"/>
                <w:szCs w:val="21"/>
                <w:lang w:eastAsia="zh-CN"/>
              </w:rPr>
              <w:t>……</w:t>
            </w:r>
          </w:p>
          <w:p w14:paraId="7A1B7AB4">
            <w:pPr>
              <w:keepNext w:val="0"/>
              <w:keepLines w:val="0"/>
              <w:pageBreakBefore w:val="0"/>
              <w:widowControl/>
              <w:numPr>
                <w:numId w:val="0"/>
              </w:numPr>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snapToGrid w:val="0"/>
                <w:color w:val="000000"/>
                <w:sz w:val="21"/>
                <w:szCs w:val="21"/>
                <w:lang w:eastAsia="zh-CN"/>
              </w:rPr>
            </w:pPr>
            <w:r>
              <w:rPr>
                <w:rFonts w:hint="eastAsia" w:ascii="仿宋_GB2312" w:hAnsi="仿宋_GB2312" w:eastAsia="仿宋_GB2312" w:cs="仿宋_GB2312"/>
                <w:snapToGrid w:val="0"/>
                <w:color w:val="000000"/>
                <w:sz w:val="21"/>
                <w:szCs w:val="21"/>
                <w:lang w:val="en-US" w:eastAsia="zh-CN"/>
              </w:rPr>
              <w:t>3.</w:t>
            </w:r>
            <w:r>
              <w:rPr>
                <w:rFonts w:hint="eastAsia" w:ascii="仿宋_GB2312" w:hAnsi="仿宋_GB2312" w:eastAsia="仿宋_GB2312" w:cs="仿宋_GB2312"/>
                <w:snapToGrid w:val="0"/>
                <w:color w:val="000000"/>
                <w:sz w:val="21"/>
                <w:szCs w:val="21"/>
              </w:rPr>
              <w:t>【行政法规】</w:t>
            </w:r>
            <w:r>
              <w:rPr>
                <w:rFonts w:hint="eastAsia" w:ascii="仿宋_GB2312" w:hAnsi="仿宋_GB2312" w:eastAsia="仿宋_GB2312" w:cs="仿宋_GB2312"/>
                <w:snapToGrid w:val="0"/>
                <w:color w:val="000000"/>
                <w:sz w:val="21"/>
                <w:szCs w:val="21"/>
                <w:lang w:eastAsia="zh-CN"/>
              </w:rPr>
              <w:t>《中华人民共和国档案法实施条例》第十八条 按照国家规定应当形成档案的机关、团体、企业事业单位和其他组织，应当建立档案工作责任制，确定档案工作组织结构、职责分工，落实档案工作领导责任、管理责任、执行责任，健全单位主要负责人承担档案完整与安全第一责任人职责相关制度，明确档案管理、档案基础设施建设、档案信息化等工作要求。</w:t>
            </w:r>
          </w:p>
          <w:p w14:paraId="13923DB6">
            <w:pPr>
              <w:keepNext w:val="0"/>
              <w:keepLines w:val="0"/>
              <w:pageBreakBefore w:val="0"/>
              <w:widowControl/>
              <w:numPr>
                <w:numId w:val="0"/>
              </w:numPr>
              <w:suppressLineNumbers w:val="0"/>
              <w:kinsoku/>
              <w:wordWrap/>
              <w:overflowPunct/>
              <w:topLinePunct w:val="0"/>
              <w:autoSpaceDE/>
              <w:autoSpaceDN/>
              <w:bidi w:val="0"/>
              <w:adjustRightInd/>
              <w:snapToGrid/>
              <w:spacing w:line="230" w:lineRule="exact"/>
              <w:jc w:val="left"/>
              <w:textAlignment w:val="center"/>
              <w:rPr>
                <w:rFonts w:hint="default" w:ascii="汉仪中秀体简" w:hAnsi="汉仪中秀体简" w:eastAsia="仿宋_GB2312" w:cs="汉仪中秀体简"/>
                <w:snapToGrid w:val="0"/>
                <w:color w:val="000000"/>
                <w:sz w:val="21"/>
                <w:szCs w:val="21"/>
                <w:lang w:val="en-US" w:eastAsia="zh-CN"/>
              </w:rPr>
            </w:pPr>
            <w:r>
              <w:rPr>
                <w:rFonts w:hint="eastAsia" w:ascii="仿宋_GB2312" w:hAnsi="仿宋_GB2312" w:eastAsia="仿宋_GB2312" w:cs="仿宋_GB2312"/>
                <w:snapToGrid w:val="0"/>
                <w:color w:val="000000"/>
                <w:sz w:val="21"/>
                <w:szCs w:val="21"/>
                <w:lang w:val="en-US" w:eastAsia="zh-CN"/>
              </w:rPr>
              <w:t>4.</w:t>
            </w:r>
            <w:r>
              <w:rPr>
                <w:rFonts w:hint="eastAsia" w:ascii="仿宋_GB2312" w:hAnsi="仿宋_GB2312" w:eastAsia="仿宋_GB2312" w:cs="仿宋_GB2312"/>
                <w:snapToGrid w:val="0"/>
                <w:color w:val="000000"/>
                <w:sz w:val="21"/>
                <w:szCs w:val="21"/>
              </w:rPr>
              <w:t>【行政法规】</w:t>
            </w:r>
            <w:r>
              <w:rPr>
                <w:rFonts w:hint="eastAsia" w:ascii="仿宋_GB2312" w:hAnsi="仿宋_GB2312" w:eastAsia="仿宋_GB2312" w:cs="仿宋_GB2312"/>
                <w:snapToGrid w:val="0"/>
                <w:color w:val="000000"/>
                <w:sz w:val="21"/>
                <w:szCs w:val="21"/>
                <w:lang w:eastAsia="zh-CN"/>
              </w:rPr>
              <w:t>《中华人民共和国档案法实施条例》第二十条</w:t>
            </w:r>
            <w:r>
              <w:rPr>
                <w:rFonts w:hint="eastAsia" w:ascii="仿宋_GB2312" w:hAnsi="仿宋_GB2312" w:eastAsia="仿宋_GB2312" w:cs="仿宋_GB2312"/>
                <w:snapToGrid w:val="0"/>
                <w:color w:val="000000"/>
                <w:sz w:val="21"/>
                <w:szCs w:val="21"/>
                <w:lang w:val="en-US" w:eastAsia="zh-CN"/>
              </w:rPr>
              <w:t xml:space="preserve"> </w:t>
            </w:r>
            <w:r>
              <w:rPr>
                <w:rFonts w:hint="default" w:ascii="汉仪中秀体简" w:hAnsi="汉仪中秀体简" w:eastAsia="仿宋_GB2312" w:cs="汉仪中秀体简"/>
                <w:snapToGrid w:val="0"/>
                <w:color w:val="000000"/>
                <w:sz w:val="21"/>
                <w:szCs w:val="21"/>
                <w:lang w:val="en-US" w:eastAsia="zh-CN"/>
              </w:rPr>
              <w:t>……经同级档案主管部门检查和同意，专业性较强或者需要保密的档案，可以延长向有关的国家档案馆移交的期限。已撤销单位的档案可以提前向有关的国家档案馆移交。</w:t>
            </w:r>
          </w:p>
          <w:p w14:paraId="0694C25B">
            <w:pPr>
              <w:keepNext w:val="0"/>
              <w:keepLines w:val="0"/>
              <w:pageBreakBefore w:val="0"/>
              <w:widowControl/>
              <w:numPr>
                <w:numId w:val="0"/>
              </w:numPr>
              <w:suppressLineNumbers w:val="0"/>
              <w:kinsoku/>
              <w:wordWrap/>
              <w:overflowPunct/>
              <w:topLinePunct w:val="0"/>
              <w:autoSpaceDE/>
              <w:autoSpaceDN/>
              <w:bidi w:val="0"/>
              <w:adjustRightInd/>
              <w:snapToGrid/>
              <w:spacing w:line="230" w:lineRule="exact"/>
              <w:jc w:val="left"/>
              <w:textAlignment w:val="center"/>
              <w:rPr>
                <w:rFonts w:hint="default" w:ascii="仿宋_GB2312" w:hAnsi="仿宋_GB2312" w:eastAsia="仿宋_GB2312" w:cs="仿宋_GB2312"/>
                <w:snapToGrid w:val="0"/>
                <w:color w:val="000000"/>
                <w:sz w:val="21"/>
                <w:szCs w:val="21"/>
                <w:lang w:val="en-US" w:eastAsia="zh-CN"/>
              </w:rPr>
            </w:pPr>
            <w:r>
              <w:rPr>
                <w:rFonts w:hint="default" w:ascii="汉仪中秀体简" w:hAnsi="汉仪中秀体简" w:eastAsia="仿宋_GB2312" w:cs="汉仪中秀体简"/>
                <w:snapToGrid w:val="0"/>
                <w:color w:val="000000"/>
                <w:sz w:val="21"/>
                <w:szCs w:val="21"/>
                <w:lang w:val="en-US" w:eastAsia="zh-CN"/>
              </w:rPr>
              <w:t>由于单位保管条件不符合要求或者存在其他原因可能导致不安全或者严重损毁的档案，经协商可以提前交有关档案馆保管。</w:t>
            </w:r>
          </w:p>
        </w:tc>
        <w:tc>
          <w:tcPr>
            <w:tcW w:w="204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5C4877">
            <w:pPr>
              <w:keepNext w:val="0"/>
              <w:keepLines w:val="0"/>
              <w:pageBreakBefore w:val="0"/>
              <w:widowControl/>
              <w:suppressLineNumbers w:val="0"/>
              <w:kinsoku/>
              <w:wordWrap/>
              <w:overflowPunct/>
              <w:topLinePunct w:val="0"/>
              <w:autoSpaceDE/>
              <w:autoSpaceDN/>
              <w:bidi w:val="0"/>
              <w:adjustRightInd/>
              <w:snapToGrid/>
              <w:spacing w:line="230" w:lineRule="exact"/>
              <w:ind w:left="0" w:leftChars="0" w:firstLine="438" w:firstLineChars="209"/>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因不履行或不正确履行行政职责，有下列情形的，行政机关及相关工作人员应承担相应责任：</w:t>
            </w:r>
          </w:p>
          <w:p w14:paraId="4D8F1A7E">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1.符合法定条件的未受理、未办理的，不符合法定条件受理办理的（驻市委办纪检组）。</w:t>
            </w:r>
          </w:p>
          <w:p w14:paraId="3531EC99">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2.不履行或不正确履行权力，造成不良后果的（驻市委办纪检组）。</w:t>
            </w:r>
          </w:p>
          <w:p w14:paraId="0E0E410E">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3.在审查中失职、渎职的（驻市委办纪检组）。</w:t>
            </w:r>
          </w:p>
          <w:p w14:paraId="49D37049">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4.有接受宴请、钱物等腐败行为的（驻市委办纪检组）。</w:t>
            </w:r>
          </w:p>
          <w:p w14:paraId="1E533CE6">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5.其他法律法规规章文件规定应履行的责任（驻市委办纪检组）。</w:t>
            </w:r>
          </w:p>
        </w:tc>
        <w:tc>
          <w:tcPr>
            <w:tcW w:w="405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8D8697">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1.【法律】《中华人民共和国档案法》 第四十八条 第四十八条　单位或者个人有下列行为之一，由县级以上档案主管部门、有关机关对直接负责的主管人员和其他直接责任人员依法给予处分：（一）丢失属于国家所有的档案的；</w:t>
            </w:r>
            <w:r>
              <w:rPr>
                <w:rFonts w:hint="default" w:ascii="汉仪中秀体简" w:hAnsi="汉仪中秀体简" w:eastAsia="仿宋_GB2312" w:cs="汉仪中秀体简"/>
                <w:i w:val="0"/>
                <w:iCs w:val="0"/>
                <w:color w:val="000000"/>
                <w:kern w:val="0"/>
                <w:sz w:val="21"/>
                <w:szCs w:val="21"/>
                <w:u w:val="none"/>
                <w:lang w:val="en-US" w:eastAsia="zh-CN" w:bidi="ar"/>
              </w:rPr>
              <w:t>……</w:t>
            </w:r>
          </w:p>
          <w:p w14:paraId="11A39B73">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（六）不按规定归档或者不按期移交档案，被责令改正而拒不改正的；</w:t>
            </w:r>
            <w:r>
              <w:rPr>
                <w:rFonts w:hint="default" w:ascii="汉仪中秀体简" w:hAnsi="汉仪中秀体简" w:eastAsia="仿宋_GB2312" w:cs="汉仪中秀体简"/>
                <w:i w:val="0"/>
                <w:iCs w:val="0"/>
                <w:color w:val="000000"/>
                <w:kern w:val="0"/>
                <w:sz w:val="21"/>
                <w:szCs w:val="21"/>
                <w:u w:val="none"/>
                <w:lang w:val="en-US" w:eastAsia="zh-CN" w:bidi="ar"/>
              </w:rPr>
              <w:t>……</w:t>
            </w:r>
          </w:p>
          <w:p w14:paraId="3988B6E2">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（八）明知存在档案安全隐患而不采取补救措施，造成档案损毁、灭失，或者存在档案安全隐患被责令限期整改而逾期未整改的；</w:t>
            </w:r>
          </w:p>
          <w:p w14:paraId="0D40ACB1">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（九）发生档案安全事故后，不采取抢救措施或者隐瞒不报、拒绝调查的；</w:t>
            </w:r>
          </w:p>
          <w:p w14:paraId="674949A5">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（十）档案工作人员玩忽职守，造成档案损毁、灭失的。</w:t>
            </w:r>
          </w:p>
          <w:p w14:paraId="3DF29154">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2.【法律】《中华人民共和国公职人员政务处分法》（2020年6月20日第十三届全国人民代表大会常务委员会第十九次会议通过）第三十八条　有下列行为之一，情节较重的，予以警告、记过或者记大过；情节严重的，予以降级或者撤职：</w:t>
            </w:r>
          </w:p>
          <w:p w14:paraId="38F45653">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（一）违反规定向管理服务对象收取、摊派财物的；</w:t>
            </w:r>
          </w:p>
          <w:p w14:paraId="49283787">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（二）在管理服务活动中故意刁难、吃拿卡要的；</w:t>
            </w:r>
          </w:p>
          <w:p w14:paraId="424F1E00">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（三）在管理服务活动中态度恶劣粗暴，造成不良后果或者影响的；</w:t>
            </w:r>
          </w:p>
          <w:p w14:paraId="6EADEB8F">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（四）不按照规定公开工作信息，侵犯管理服务对象知情权，造成不良后果或者影响的；</w:t>
            </w:r>
          </w:p>
          <w:p w14:paraId="643EDAB6">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（五）其他侵犯管理服务对象利益的行为，造成不良后果或者影响的。</w:t>
            </w:r>
          </w:p>
          <w:p w14:paraId="00E1E187">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有前款第一项、第二项和第五项行为，情节特别严重的，予以开除。</w:t>
            </w:r>
          </w:p>
          <w:p w14:paraId="7C5C4811">
            <w:pPr>
              <w:keepNext w:val="0"/>
              <w:keepLines w:val="0"/>
              <w:pageBreakBefore w:val="0"/>
              <w:widowControl/>
              <w:suppressLineNumbers w:val="0"/>
              <w:kinsoku/>
              <w:wordWrap/>
              <w:overflowPunct/>
              <w:topLinePunct w:val="0"/>
              <w:autoSpaceDE/>
              <w:autoSpaceDN/>
              <w:bidi w:val="0"/>
              <w:adjustRightInd/>
              <w:snapToGrid/>
              <w:spacing w:line="230" w:lineRule="exact"/>
              <w:jc w:val="both"/>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w:t>
            </w:r>
            <w:r>
              <w:rPr>
                <w:rFonts w:hint="eastAsia" w:ascii="仿宋_GB2312" w:hAnsi="仿宋_GB2312" w:eastAsia="仿宋_GB2312" w:cs="仿宋_GB2312"/>
                <w:snapToGrid w:val="0"/>
                <w:color w:val="000000"/>
                <w:sz w:val="21"/>
                <w:szCs w:val="21"/>
              </w:rPr>
              <w:t>【行政法规】</w:t>
            </w:r>
            <w:r>
              <w:rPr>
                <w:rFonts w:hint="eastAsia" w:ascii="仿宋_GB2312" w:hAnsi="仿宋_GB2312" w:eastAsia="仿宋_GB2312" w:cs="仿宋_GB2312"/>
                <w:snapToGrid w:val="0"/>
                <w:color w:val="000000"/>
                <w:sz w:val="21"/>
                <w:szCs w:val="21"/>
                <w:lang w:eastAsia="zh-CN"/>
              </w:rPr>
              <w:t>《中华人民共和国档案法实施条例》</w:t>
            </w:r>
            <w:bookmarkStart w:id="0" w:name="_GoBack"/>
            <w:bookmarkEnd w:id="0"/>
          </w:p>
        </w:tc>
        <w:tc>
          <w:tcPr>
            <w:tcW w:w="1404"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C5B9F8">
            <w:pPr>
              <w:keepNext w:val="0"/>
              <w:keepLines w:val="0"/>
              <w:pageBreakBefore w:val="0"/>
              <w:widowControl/>
              <w:suppressLineNumbers w:val="0"/>
              <w:kinsoku/>
              <w:wordWrap/>
              <w:overflowPunct/>
              <w:topLinePunct w:val="0"/>
              <w:autoSpaceDE/>
              <w:autoSpaceDN/>
              <w:bidi w:val="0"/>
              <w:adjustRightInd/>
              <w:snapToGrid/>
              <w:spacing w:line="230" w:lineRule="exact"/>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    法律法规规定的免责情形及自治区党委、自治区人民政府、市委、市政府有关文件中明确的免责情形。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C9CEA1">
            <w:pPr>
              <w:keepNext w:val="0"/>
              <w:keepLines w:val="0"/>
              <w:pageBreakBefore w:val="0"/>
              <w:widowControl/>
              <w:suppressLineNumbers w:val="0"/>
              <w:kinsoku/>
              <w:wordWrap/>
              <w:overflowPunct/>
              <w:topLinePunct w:val="0"/>
              <w:autoSpaceDE/>
              <w:autoSpaceDN/>
              <w:bidi w:val="0"/>
              <w:adjustRightInd/>
              <w:snapToGrid/>
              <w:spacing w:line="23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bl>
    <w:p w14:paraId="300CF437">
      <w:pPr>
        <w:adjustRightInd w:val="0"/>
        <w:snapToGrid w:val="0"/>
        <w:spacing w:line="570" w:lineRule="exact"/>
        <w:rPr>
          <w:rFonts w:hint="eastAsia" w:ascii="仿宋_GB2312" w:hAnsi="仿宋_GB2312" w:eastAsia="仿宋_GB2312" w:cs="仿宋_GB2312"/>
          <w:sz w:val="32"/>
          <w:szCs w:val="32"/>
        </w:rPr>
      </w:pPr>
    </w:p>
    <w:sectPr>
      <w:footerReference r:id="rId3" w:type="default"/>
      <w:pgSz w:w="23811" w:h="16838" w:orient="landscape"/>
      <w:pgMar w:top="1417" w:right="1417" w:bottom="1417" w:left="1417" w:header="851" w:footer="1020" w:gutter="0"/>
      <w:pgNumType w:fmt="decimal" w:start="1"/>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Math TeX Gyre">
    <w:panose1 w:val="02000503000000000000"/>
    <w:charset w:val="00"/>
    <w:family w:val="auto"/>
    <w:pitch w:val="default"/>
    <w:sig w:usb0="A10000EF" w:usb1="4201F9EE" w:usb2="02000000" w:usb3="00000000" w:csb0="60000193" w:csb1="0DD4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汉仪中秀体简">
    <w:altName w:val="C059"/>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8B770">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89E79C">
                          <w:pPr>
                            <w:pStyle w:val="2"/>
                            <w:rPr>
                              <w:rStyle w:val="8"/>
                              <w:rFonts w:hint="eastAsia"/>
                              <w:sz w:val="28"/>
                              <w:szCs w:val="28"/>
                            </w:rPr>
                          </w:pPr>
                          <w:r>
                            <w:rPr>
                              <w:rStyle w:val="8"/>
                              <w:rFonts w:hint="eastAsia"/>
                              <w:sz w:val="28"/>
                              <w:szCs w:val="28"/>
                            </w:rPr>
                            <w:t xml:space="preserve">— </w:t>
                          </w:r>
                          <w:r>
                            <w:rPr>
                              <w:rStyle w:val="8"/>
                              <w:sz w:val="28"/>
                              <w:szCs w:val="28"/>
                            </w:rPr>
                            <w:fldChar w:fldCharType="begin"/>
                          </w:r>
                          <w:r>
                            <w:rPr>
                              <w:rStyle w:val="8"/>
                              <w:sz w:val="28"/>
                              <w:szCs w:val="28"/>
                            </w:rPr>
                            <w:instrText xml:space="preserve">PAGE  </w:instrText>
                          </w:r>
                          <w:r>
                            <w:rPr>
                              <w:rStyle w:val="8"/>
                              <w:sz w:val="28"/>
                              <w:szCs w:val="28"/>
                            </w:rPr>
                            <w:fldChar w:fldCharType="separate"/>
                          </w:r>
                          <w:r>
                            <w:rPr>
                              <w:rStyle w:val="8"/>
                              <w:sz w:val="28"/>
                              <w:szCs w:val="28"/>
                            </w:rPr>
                            <w:t>1</w:t>
                          </w:r>
                          <w:r>
                            <w:rPr>
                              <w:rStyle w:val="8"/>
                              <w:sz w:val="28"/>
                              <w:szCs w:val="28"/>
                            </w:rPr>
                            <w:fldChar w:fldCharType="end"/>
                          </w:r>
                          <w:r>
                            <w:rPr>
                              <w:rStyle w:val="8"/>
                              <w:rFonts w:hint="eastAsia"/>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B89E79C">
                    <w:pPr>
                      <w:pStyle w:val="2"/>
                      <w:rPr>
                        <w:rStyle w:val="8"/>
                        <w:rFonts w:hint="eastAsia"/>
                        <w:sz w:val="28"/>
                        <w:szCs w:val="28"/>
                      </w:rPr>
                    </w:pPr>
                    <w:r>
                      <w:rPr>
                        <w:rStyle w:val="8"/>
                        <w:rFonts w:hint="eastAsia"/>
                        <w:sz w:val="28"/>
                        <w:szCs w:val="28"/>
                      </w:rPr>
                      <w:t xml:space="preserve">— </w:t>
                    </w:r>
                    <w:r>
                      <w:rPr>
                        <w:rStyle w:val="8"/>
                        <w:sz w:val="28"/>
                        <w:szCs w:val="28"/>
                      </w:rPr>
                      <w:fldChar w:fldCharType="begin"/>
                    </w:r>
                    <w:r>
                      <w:rPr>
                        <w:rStyle w:val="8"/>
                        <w:sz w:val="28"/>
                        <w:szCs w:val="28"/>
                      </w:rPr>
                      <w:instrText xml:space="preserve">PAGE  </w:instrText>
                    </w:r>
                    <w:r>
                      <w:rPr>
                        <w:rStyle w:val="8"/>
                        <w:sz w:val="28"/>
                        <w:szCs w:val="28"/>
                      </w:rPr>
                      <w:fldChar w:fldCharType="separate"/>
                    </w:r>
                    <w:r>
                      <w:rPr>
                        <w:rStyle w:val="8"/>
                        <w:sz w:val="28"/>
                        <w:szCs w:val="28"/>
                      </w:rPr>
                      <w:t>1</w:t>
                    </w:r>
                    <w:r>
                      <w:rPr>
                        <w:rStyle w:val="8"/>
                        <w:sz w:val="28"/>
                        <w:szCs w:val="28"/>
                      </w:rPr>
                      <w:fldChar w:fldCharType="end"/>
                    </w:r>
                    <w:r>
                      <w:rPr>
                        <w:rStyle w:val="8"/>
                        <w:rFonts w:hint="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9"/>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FEC"/>
    <w:rsid w:val="0000394A"/>
    <w:rsid w:val="000054A6"/>
    <w:rsid w:val="0000600F"/>
    <w:rsid w:val="000071DF"/>
    <w:rsid w:val="000256E5"/>
    <w:rsid w:val="0002571F"/>
    <w:rsid w:val="00026B68"/>
    <w:rsid w:val="00033029"/>
    <w:rsid w:val="00037D15"/>
    <w:rsid w:val="00043B59"/>
    <w:rsid w:val="000442A4"/>
    <w:rsid w:val="00047946"/>
    <w:rsid w:val="00050870"/>
    <w:rsid w:val="00060DA1"/>
    <w:rsid w:val="0006284F"/>
    <w:rsid w:val="000676C8"/>
    <w:rsid w:val="00087BF6"/>
    <w:rsid w:val="00094207"/>
    <w:rsid w:val="000A0929"/>
    <w:rsid w:val="000A1E93"/>
    <w:rsid w:val="000A2F96"/>
    <w:rsid w:val="000A4ECA"/>
    <w:rsid w:val="000B54A3"/>
    <w:rsid w:val="000B789E"/>
    <w:rsid w:val="000E22A0"/>
    <w:rsid w:val="000F4182"/>
    <w:rsid w:val="001022C6"/>
    <w:rsid w:val="00104873"/>
    <w:rsid w:val="00110A56"/>
    <w:rsid w:val="00111D93"/>
    <w:rsid w:val="00113ABA"/>
    <w:rsid w:val="00114945"/>
    <w:rsid w:val="00120A4E"/>
    <w:rsid w:val="0012434A"/>
    <w:rsid w:val="001351BC"/>
    <w:rsid w:val="001408FF"/>
    <w:rsid w:val="00142EA7"/>
    <w:rsid w:val="00154A07"/>
    <w:rsid w:val="00155549"/>
    <w:rsid w:val="00162A80"/>
    <w:rsid w:val="0016430F"/>
    <w:rsid w:val="0016625B"/>
    <w:rsid w:val="00172A3A"/>
    <w:rsid w:val="001756E9"/>
    <w:rsid w:val="0019235F"/>
    <w:rsid w:val="00192579"/>
    <w:rsid w:val="001B3D08"/>
    <w:rsid w:val="001B4E25"/>
    <w:rsid w:val="001B682C"/>
    <w:rsid w:val="001B77FA"/>
    <w:rsid w:val="001C7A6A"/>
    <w:rsid w:val="001D56A8"/>
    <w:rsid w:val="001D5A61"/>
    <w:rsid w:val="001E1DFC"/>
    <w:rsid w:val="001E717E"/>
    <w:rsid w:val="001F39DA"/>
    <w:rsid w:val="00202ACB"/>
    <w:rsid w:val="00203586"/>
    <w:rsid w:val="00212E1C"/>
    <w:rsid w:val="002408B1"/>
    <w:rsid w:val="00246491"/>
    <w:rsid w:val="00272A88"/>
    <w:rsid w:val="00276D63"/>
    <w:rsid w:val="00277C80"/>
    <w:rsid w:val="00281746"/>
    <w:rsid w:val="00286D4F"/>
    <w:rsid w:val="002A0A8B"/>
    <w:rsid w:val="002A70D0"/>
    <w:rsid w:val="002B4C78"/>
    <w:rsid w:val="002B5816"/>
    <w:rsid w:val="002B5F1B"/>
    <w:rsid w:val="002B64F4"/>
    <w:rsid w:val="002C076B"/>
    <w:rsid w:val="002C5B8B"/>
    <w:rsid w:val="002D284E"/>
    <w:rsid w:val="002D46EA"/>
    <w:rsid w:val="002E0784"/>
    <w:rsid w:val="002E4138"/>
    <w:rsid w:val="002F194F"/>
    <w:rsid w:val="00303B04"/>
    <w:rsid w:val="0030644B"/>
    <w:rsid w:val="003136BC"/>
    <w:rsid w:val="00315FBD"/>
    <w:rsid w:val="00322D66"/>
    <w:rsid w:val="003277C0"/>
    <w:rsid w:val="00331BD1"/>
    <w:rsid w:val="00333B14"/>
    <w:rsid w:val="00337113"/>
    <w:rsid w:val="0035012B"/>
    <w:rsid w:val="00351D56"/>
    <w:rsid w:val="00351F4E"/>
    <w:rsid w:val="0036478D"/>
    <w:rsid w:val="0037031A"/>
    <w:rsid w:val="003734C5"/>
    <w:rsid w:val="00373634"/>
    <w:rsid w:val="0038052C"/>
    <w:rsid w:val="003936F6"/>
    <w:rsid w:val="003A0104"/>
    <w:rsid w:val="003A4C98"/>
    <w:rsid w:val="003B0CB2"/>
    <w:rsid w:val="003B1DEA"/>
    <w:rsid w:val="003B28A0"/>
    <w:rsid w:val="003C1612"/>
    <w:rsid w:val="003C36CD"/>
    <w:rsid w:val="003C3F0A"/>
    <w:rsid w:val="003D0ABF"/>
    <w:rsid w:val="003D5786"/>
    <w:rsid w:val="003E1CBB"/>
    <w:rsid w:val="003E32A4"/>
    <w:rsid w:val="003E4A17"/>
    <w:rsid w:val="003E6D5D"/>
    <w:rsid w:val="003E6E68"/>
    <w:rsid w:val="003E6FF8"/>
    <w:rsid w:val="003F3DB4"/>
    <w:rsid w:val="004001F0"/>
    <w:rsid w:val="00404F20"/>
    <w:rsid w:val="00416479"/>
    <w:rsid w:val="0042158E"/>
    <w:rsid w:val="004225CD"/>
    <w:rsid w:val="0042652A"/>
    <w:rsid w:val="00444C16"/>
    <w:rsid w:val="00454159"/>
    <w:rsid w:val="00461ADD"/>
    <w:rsid w:val="00462329"/>
    <w:rsid w:val="00464C9B"/>
    <w:rsid w:val="00473099"/>
    <w:rsid w:val="00482354"/>
    <w:rsid w:val="00483E02"/>
    <w:rsid w:val="0048603F"/>
    <w:rsid w:val="00492145"/>
    <w:rsid w:val="004B52C2"/>
    <w:rsid w:val="004B58F3"/>
    <w:rsid w:val="004B7F4F"/>
    <w:rsid w:val="004C195B"/>
    <w:rsid w:val="004C6CCD"/>
    <w:rsid w:val="004D79AA"/>
    <w:rsid w:val="004E0B39"/>
    <w:rsid w:val="004E36E1"/>
    <w:rsid w:val="004E50CC"/>
    <w:rsid w:val="004F128F"/>
    <w:rsid w:val="0050366B"/>
    <w:rsid w:val="0051150A"/>
    <w:rsid w:val="00514222"/>
    <w:rsid w:val="0051723A"/>
    <w:rsid w:val="00530BC4"/>
    <w:rsid w:val="005319F3"/>
    <w:rsid w:val="005362B9"/>
    <w:rsid w:val="005369BC"/>
    <w:rsid w:val="005369C2"/>
    <w:rsid w:val="00541EFD"/>
    <w:rsid w:val="00542C89"/>
    <w:rsid w:val="005546C0"/>
    <w:rsid w:val="00554959"/>
    <w:rsid w:val="00560152"/>
    <w:rsid w:val="0056109D"/>
    <w:rsid w:val="0056155E"/>
    <w:rsid w:val="00561EEB"/>
    <w:rsid w:val="00591188"/>
    <w:rsid w:val="00592315"/>
    <w:rsid w:val="005A6647"/>
    <w:rsid w:val="005A785C"/>
    <w:rsid w:val="005A78D2"/>
    <w:rsid w:val="005B5614"/>
    <w:rsid w:val="005D551E"/>
    <w:rsid w:val="005E0256"/>
    <w:rsid w:val="005F1084"/>
    <w:rsid w:val="005F4E2F"/>
    <w:rsid w:val="00603F16"/>
    <w:rsid w:val="006044AE"/>
    <w:rsid w:val="006146C7"/>
    <w:rsid w:val="00615B78"/>
    <w:rsid w:val="00615CB0"/>
    <w:rsid w:val="00616F41"/>
    <w:rsid w:val="006171CB"/>
    <w:rsid w:val="0062774A"/>
    <w:rsid w:val="0064599E"/>
    <w:rsid w:val="006466AE"/>
    <w:rsid w:val="00652319"/>
    <w:rsid w:val="0065629C"/>
    <w:rsid w:val="00657398"/>
    <w:rsid w:val="0067185A"/>
    <w:rsid w:val="00680A54"/>
    <w:rsid w:val="0068158F"/>
    <w:rsid w:val="00682DDC"/>
    <w:rsid w:val="00684592"/>
    <w:rsid w:val="00685FBF"/>
    <w:rsid w:val="00691DA9"/>
    <w:rsid w:val="00692474"/>
    <w:rsid w:val="006A2E4E"/>
    <w:rsid w:val="006B68D2"/>
    <w:rsid w:val="006E266E"/>
    <w:rsid w:val="006E4B47"/>
    <w:rsid w:val="006F5561"/>
    <w:rsid w:val="0070173C"/>
    <w:rsid w:val="00701789"/>
    <w:rsid w:val="00702972"/>
    <w:rsid w:val="00704AB6"/>
    <w:rsid w:val="00716FEC"/>
    <w:rsid w:val="007220E8"/>
    <w:rsid w:val="00737F45"/>
    <w:rsid w:val="0074140A"/>
    <w:rsid w:val="00751E47"/>
    <w:rsid w:val="00757A17"/>
    <w:rsid w:val="00760013"/>
    <w:rsid w:val="00782484"/>
    <w:rsid w:val="0079151C"/>
    <w:rsid w:val="00791601"/>
    <w:rsid w:val="007940AE"/>
    <w:rsid w:val="007A4D04"/>
    <w:rsid w:val="007B240C"/>
    <w:rsid w:val="007B3FCE"/>
    <w:rsid w:val="007C3134"/>
    <w:rsid w:val="007C633B"/>
    <w:rsid w:val="007D5262"/>
    <w:rsid w:val="007E2E15"/>
    <w:rsid w:val="007F0108"/>
    <w:rsid w:val="007F6517"/>
    <w:rsid w:val="007F71AC"/>
    <w:rsid w:val="00802AF5"/>
    <w:rsid w:val="008078C7"/>
    <w:rsid w:val="00815C7B"/>
    <w:rsid w:val="00831DC8"/>
    <w:rsid w:val="008351D5"/>
    <w:rsid w:val="008411BE"/>
    <w:rsid w:val="008412DE"/>
    <w:rsid w:val="00841E44"/>
    <w:rsid w:val="00850A55"/>
    <w:rsid w:val="00854931"/>
    <w:rsid w:val="0085769E"/>
    <w:rsid w:val="00857B59"/>
    <w:rsid w:val="0086399B"/>
    <w:rsid w:val="008651D7"/>
    <w:rsid w:val="008806C5"/>
    <w:rsid w:val="0089091F"/>
    <w:rsid w:val="00892FA8"/>
    <w:rsid w:val="00893759"/>
    <w:rsid w:val="00894A9E"/>
    <w:rsid w:val="00895976"/>
    <w:rsid w:val="008A297F"/>
    <w:rsid w:val="008A5931"/>
    <w:rsid w:val="008B3A52"/>
    <w:rsid w:val="008C21DB"/>
    <w:rsid w:val="008D1D22"/>
    <w:rsid w:val="008D2C9E"/>
    <w:rsid w:val="008D672E"/>
    <w:rsid w:val="008E15C1"/>
    <w:rsid w:val="008E4A1C"/>
    <w:rsid w:val="008E6040"/>
    <w:rsid w:val="008E74F9"/>
    <w:rsid w:val="00905156"/>
    <w:rsid w:val="00907B03"/>
    <w:rsid w:val="00916B87"/>
    <w:rsid w:val="0092501F"/>
    <w:rsid w:val="009255CC"/>
    <w:rsid w:val="00944659"/>
    <w:rsid w:val="009447BA"/>
    <w:rsid w:val="00962A49"/>
    <w:rsid w:val="00970613"/>
    <w:rsid w:val="00975008"/>
    <w:rsid w:val="0098633F"/>
    <w:rsid w:val="00986F9A"/>
    <w:rsid w:val="00987852"/>
    <w:rsid w:val="0099216E"/>
    <w:rsid w:val="009A02C3"/>
    <w:rsid w:val="009A0A0B"/>
    <w:rsid w:val="009A7AB7"/>
    <w:rsid w:val="009B3EB9"/>
    <w:rsid w:val="009C3B59"/>
    <w:rsid w:val="009C40D2"/>
    <w:rsid w:val="009D1421"/>
    <w:rsid w:val="009D61A8"/>
    <w:rsid w:val="009D7D48"/>
    <w:rsid w:val="009F10E4"/>
    <w:rsid w:val="009F36C1"/>
    <w:rsid w:val="009F445C"/>
    <w:rsid w:val="009F5811"/>
    <w:rsid w:val="00A0286D"/>
    <w:rsid w:val="00A04692"/>
    <w:rsid w:val="00A122E5"/>
    <w:rsid w:val="00A15695"/>
    <w:rsid w:val="00A15EA7"/>
    <w:rsid w:val="00A26EB1"/>
    <w:rsid w:val="00A27DB5"/>
    <w:rsid w:val="00A31C15"/>
    <w:rsid w:val="00A353D5"/>
    <w:rsid w:val="00A42C71"/>
    <w:rsid w:val="00A46487"/>
    <w:rsid w:val="00A536E5"/>
    <w:rsid w:val="00A608E7"/>
    <w:rsid w:val="00A71185"/>
    <w:rsid w:val="00A976F7"/>
    <w:rsid w:val="00A97986"/>
    <w:rsid w:val="00AA2CB2"/>
    <w:rsid w:val="00AB5AFF"/>
    <w:rsid w:val="00AD6AAC"/>
    <w:rsid w:val="00AF540C"/>
    <w:rsid w:val="00B32477"/>
    <w:rsid w:val="00B34C9A"/>
    <w:rsid w:val="00B438F3"/>
    <w:rsid w:val="00B46E61"/>
    <w:rsid w:val="00B52AD0"/>
    <w:rsid w:val="00B54A88"/>
    <w:rsid w:val="00B63534"/>
    <w:rsid w:val="00B64886"/>
    <w:rsid w:val="00B710AA"/>
    <w:rsid w:val="00B8089F"/>
    <w:rsid w:val="00B81148"/>
    <w:rsid w:val="00B84BB1"/>
    <w:rsid w:val="00B84DFE"/>
    <w:rsid w:val="00B8684F"/>
    <w:rsid w:val="00B96FFE"/>
    <w:rsid w:val="00B977E1"/>
    <w:rsid w:val="00BA080C"/>
    <w:rsid w:val="00BB614E"/>
    <w:rsid w:val="00BC01EE"/>
    <w:rsid w:val="00BC2606"/>
    <w:rsid w:val="00BC459A"/>
    <w:rsid w:val="00BD191A"/>
    <w:rsid w:val="00BE1210"/>
    <w:rsid w:val="00BE4262"/>
    <w:rsid w:val="00BF15B1"/>
    <w:rsid w:val="00C01D35"/>
    <w:rsid w:val="00C02571"/>
    <w:rsid w:val="00C0532B"/>
    <w:rsid w:val="00C1157A"/>
    <w:rsid w:val="00C12E1C"/>
    <w:rsid w:val="00C13913"/>
    <w:rsid w:val="00C13F69"/>
    <w:rsid w:val="00C20C5F"/>
    <w:rsid w:val="00C21545"/>
    <w:rsid w:val="00C347B7"/>
    <w:rsid w:val="00C41018"/>
    <w:rsid w:val="00C44C14"/>
    <w:rsid w:val="00C50B91"/>
    <w:rsid w:val="00C554E8"/>
    <w:rsid w:val="00C62556"/>
    <w:rsid w:val="00C65C5E"/>
    <w:rsid w:val="00C674D6"/>
    <w:rsid w:val="00C811AB"/>
    <w:rsid w:val="00C86A41"/>
    <w:rsid w:val="00C92AB6"/>
    <w:rsid w:val="00C9323E"/>
    <w:rsid w:val="00CA78A7"/>
    <w:rsid w:val="00CC26FE"/>
    <w:rsid w:val="00CC2831"/>
    <w:rsid w:val="00CC38D0"/>
    <w:rsid w:val="00CC6DA8"/>
    <w:rsid w:val="00CC73C0"/>
    <w:rsid w:val="00CC7F99"/>
    <w:rsid w:val="00CD2137"/>
    <w:rsid w:val="00CD6C6E"/>
    <w:rsid w:val="00CE1FAE"/>
    <w:rsid w:val="00CE2231"/>
    <w:rsid w:val="00CE22DB"/>
    <w:rsid w:val="00CE5050"/>
    <w:rsid w:val="00CF5831"/>
    <w:rsid w:val="00CF62C7"/>
    <w:rsid w:val="00D00BF4"/>
    <w:rsid w:val="00D0313B"/>
    <w:rsid w:val="00D079C8"/>
    <w:rsid w:val="00D11741"/>
    <w:rsid w:val="00D13746"/>
    <w:rsid w:val="00D23BA9"/>
    <w:rsid w:val="00D26C4C"/>
    <w:rsid w:val="00D329EE"/>
    <w:rsid w:val="00D45FB5"/>
    <w:rsid w:val="00D4732A"/>
    <w:rsid w:val="00D50990"/>
    <w:rsid w:val="00D53112"/>
    <w:rsid w:val="00D5441B"/>
    <w:rsid w:val="00D67F39"/>
    <w:rsid w:val="00D74F92"/>
    <w:rsid w:val="00D75583"/>
    <w:rsid w:val="00D86781"/>
    <w:rsid w:val="00D93D1E"/>
    <w:rsid w:val="00DA3758"/>
    <w:rsid w:val="00DB4937"/>
    <w:rsid w:val="00DB5178"/>
    <w:rsid w:val="00DC0BC2"/>
    <w:rsid w:val="00DC4A9E"/>
    <w:rsid w:val="00DC5AE7"/>
    <w:rsid w:val="00DC7D98"/>
    <w:rsid w:val="00DE1D79"/>
    <w:rsid w:val="00DE5294"/>
    <w:rsid w:val="00DE6F28"/>
    <w:rsid w:val="00DF3470"/>
    <w:rsid w:val="00E01770"/>
    <w:rsid w:val="00E04757"/>
    <w:rsid w:val="00E06370"/>
    <w:rsid w:val="00E11B83"/>
    <w:rsid w:val="00E24AD3"/>
    <w:rsid w:val="00E327F9"/>
    <w:rsid w:val="00E34551"/>
    <w:rsid w:val="00E3770A"/>
    <w:rsid w:val="00E476BD"/>
    <w:rsid w:val="00E571DF"/>
    <w:rsid w:val="00E802FD"/>
    <w:rsid w:val="00E80F5B"/>
    <w:rsid w:val="00E83C3E"/>
    <w:rsid w:val="00E840D7"/>
    <w:rsid w:val="00E85FE3"/>
    <w:rsid w:val="00E87226"/>
    <w:rsid w:val="00E9172A"/>
    <w:rsid w:val="00E969D4"/>
    <w:rsid w:val="00EA7855"/>
    <w:rsid w:val="00EB45B2"/>
    <w:rsid w:val="00EB73D3"/>
    <w:rsid w:val="00ED48FE"/>
    <w:rsid w:val="00ED694A"/>
    <w:rsid w:val="00EE1618"/>
    <w:rsid w:val="00EF7E9D"/>
    <w:rsid w:val="00F011D7"/>
    <w:rsid w:val="00F229D7"/>
    <w:rsid w:val="00F26846"/>
    <w:rsid w:val="00F27490"/>
    <w:rsid w:val="00F3482C"/>
    <w:rsid w:val="00F43F31"/>
    <w:rsid w:val="00F460B4"/>
    <w:rsid w:val="00F501B0"/>
    <w:rsid w:val="00F52A27"/>
    <w:rsid w:val="00F568BB"/>
    <w:rsid w:val="00F7507A"/>
    <w:rsid w:val="00F91C73"/>
    <w:rsid w:val="00F96CC5"/>
    <w:rsid w:val="00F979BC"/>
    <w:rsid w:val="00FA033F"/>
    <w:rsid w:val="00FA184D"/>
    <w:rsid w:val="00FB487B"/>
    <w:rsid w:val="00FB57B6"/>
    <w:rsid w:val="00FB6C68"/>
    <w:rsid w:val="00FB768F"/>
    <w:rsid w:val="00FD259E"/>
    <w:rsid w:val="00FD757F"/>
    <w:rsid w:val="00FD7A49"/>
    <w:rsid w:val="00FE2198"/>
    <w:rsid w:val="00FE7125"/>
    <w:rsid w:val="00FE7E28"/>
    <w:rsid w:val="00FF09DA"/>
    <w:rsid w:val="00FF33C9"/>
    <w:rsid w:val="063F594E"/>
    <w:rsid w:val="06FF25B1"/>
    <w:rsid w:val="10786F12"/>
    <w:rsid w:val="194D7872"/>
    <w:rsid w:val="1EFF70DB"/>
    <w:rsid w:val="1F6FDFA9"/>
    <w:rsid w:val="2341673D"/>
    <w:rsid w:val="27BFAAF4"/>
    <w:rsid w:val="2E9076F3"/>
    <w:rsid w:val="38296B3C"/>
    <w:rsid w:val="387A3E48"/>
    <w:rsid w:val="38DE3BAF"/>
    <w:rsid w:val="3C397730"/>
    <w:rsid w:val="3ED270EB"/>
    <w:rsid w:val="3F9FF987"/>
    <w:rsid w:val="3FDF5A75"/>
    <w:rsid w:val="41370DD1"/>
    <w:rsid w:val="4D686C8D"/>
    <w:rsid w:val="4DC40DEA"/>
    <w:rsid w:val="4E7F8682"/>
    <w:rsid w:val="53FE2C5D"/>
    <w:rsid w:val="55B7742C"/>
    <w:rsid w:val="6298258C"/>
    <w:rsid w:val="65415699"/>
    <w:rsid w:val="66EFCCFC"/>
    <w:rsid w:val="6763B89E"/>
    <w:rsid w:val="676BED68"/>
    <w:rsid w:val="67EBEEC3"/>
    <w:rsid w:val="6B663041"/>
    <w:rsid w:val="6EAFE2F9"/>
    <w:rsid w:val="6EDBDA6D"/>
    <w:rsid w:val="6F0A76E0"/>
    <w:rsid w:val="73C6CCF0"/>
    <w:rsid w:val="75FFCE37"/>
    <w:rsid w:val="798F0A8F"/>
    <w:rsid w:val="79FED5F7"/>
    <w:rsid w:val="7A9B7337"/>
    <w:rsid w:val="7BD67711"/>
    <w:rsid w:val="7CF003C1"/>
    <w:rsid w:val="7CFC2DF1"/>
    <w:rsid w:val="7EBF0BF6"/>
    <w:rsid w:val="7F925D78"/>
    <w:rsid w:val="7FB1621E"/>
    <w:rsid w:val="7FC7373B"/>
    <w:rsid w:val="7FFE126A"/>
    <w:rsid w:val="8F7B7A66"/>
    <w:rsid w:val="AEE30CF5"/>
    <w:rsid w:val="AF8F65D9"/>
    <w:rsid w:val="BBDCFA63"/>
    <w:rsid w:val="BEAF752B"/>
    <w:rsid w:val="BFF7D465"/>
    <w:rsid w:val="BFFD188B"/>
    <w:rsid w:val="C1FC4CFD"/>
    <w:rsid w:val="CE9F31AC"/>
    <w:rsid w:val="D1FF3E21"/>
    <w:rsid w:val="D7F78042"/>
    <w:rsid w:val="DF97B4BC"/>
    <w:rsid w:val="DFF710F4"/>
    <w:rsid w:val="EBDF516D"/>
    <w:rsid w:val="EDFD6E8C"/>
    <w:rsid w:val="EEFFC312"/>
    <w:rsid w:val="EFDEACFF"/>
    <w:rsid w:val="EFE9EA1F"/>
    <w:rsid w:val="F7DB5688"/>
    <w:rsid w:val="F8EF55FF"/>
    <w:rsid w:val="FBBFCB69"/>
    <w:rsid w:val="FD7FF07F"/>
    <w:rsid w:val="FE7BDB68"/>
    <w:rsid w:val="FEA6B416"/>
    <w:rsid w:val="FEF55797"/>
    <w:rsid w:val="FF7B4B88"/>
    <w:rsid w:val="FF7CCBA2"/>
    <w:rsid w:val="FFD239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page number"/>
    <w:basedOn w:val="6"/>
    <w:qFormat/>
    <w:uiPriority w:val="0"/>
  </w:style>
  <w:style w:type="paragraph" w:customStyle="1" w:styleId="9">
    <w:name w:val="p0"/>
    <w:basedOn w:val="1"/>
    <w:qFormat/>
    <w:uiPriority w:val="0"/>
    <w:pPr>
      <w:widowControl/>
    </w:pPr>
    <w:rPr>
      <w:rFonts w:eastAsia="宋体"/>
      <w:kern w:val="0"/>
      <w:sz w:val="21"/>
      <w:szCs w:val="21"/>
    </w:rPr>
  </w:style>
  <w:style w:type="character" w:customStyle="1" w:styleId="10">
    <w:name w:val="font21"/>
    <w:basedOn w:val="6"/>
    <w:uiPriority w:val="0"/>
    <w:rPr>
      <w:rFonts w:hint="eastAsia" w:ascii="仿宋_GB2312" w:eastAsia="仿宋_GB2312" w:cs="仿宋_GB2312"/>
      <w:color w:val="000000"/>
      <w:sz w:val="18"/>
      <w:szCs w:val="18"/>
      <w:u w:val="none"/>
    </w:rPr>
  </w:style>
  <w:style w:type="character" w:customStyle="1" w:styleId="11">
    <w:name w:val="font11"/>
    <w:basedOn w:val="6"/>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ZF</Company>
  <Pages>7</Pages>
  <Words>0</Words>
  <Characters>2</Characters>
  <Lines>1</Lines>
  <Paragraphs>1</Paragraphs>
  <TotalTime>2</TotalTime>
  <ScaleCrop>false</ScaleCrop>
  <LinksUpToDate>false</LinksUpToDate>
  <CharactersWithSpaces>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2013-01-10T02:59:00Z</dcterms:created>
  <dc:creator>wxf</dc:creator>
  <cp:lastModifiedBy>海纳百川  有容乃大</cp:lastModifiedBy>
  <cp:lastPrinted>2026-09-04T19:35:00Z</cp:lastPrinted>
  <dcterms:modified xsi:type="dcterms:W3CDTF">2026-09-04T18:03:53Z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47E58AE93DA57C8177119A6AC8758FC3_43</vt:lpwstr>
  </property>
</Properties>
</file>